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r w:rsidR="00914C89">
              <w:rPr>
                <w:rFonts w:ascii="Arial" w:hAnsi="Arial" w:hint="cs"/>
                <w:b/>
                <w:bCs/>
                <w:sz w:val="26"/>
                <w:szCs w:val="26"/>
                <w:rtl/>
              </w:rPr>
              <w:t xml:space="preserve"> </w:t>
            </w:r>
            <w:r w:rsidR="00914C89">
              <w:rPr>
                <w:rFonts w:ascii="Arial" w:hAnsi="Arial"/>
                <w:b/>
                <w:bCs/>
                <w:sz w:val="26"/>
                <w:szCs w:val="26"/>
                <w:rtl/>
              </w:rPr>
              <w:t>–</w:t>
            </w:r>
            <w:r w:rsidR="00914C89">
              <w:rPr>
                <w:rFonts w:ascii="Arial" w:hAnsi="Arial" w:hint="cs"/>
                <w:b/>
                <w:bCs/>
                <w:sz w:val="26"/>
                <w:szCs w:val="26"/>
                <w:rtl/>
              </w:rPr>
              <w:t xml:space="preserve"> אב"ד</w:t>
            </w:r>
          </w:p>
          <w:p w:rsidR="00116E4D" w:rsidRPr="00116E4D" w:rsidRDefault="00116E4D" w:rsidP="001346CC">
            <w:pPr>
              <w:rPr>
                <w:rFonts w:ascii="Arial" w:hAnsi="Arial"/>
                <w:b/>
                <w:bCs/>
                <w:sz w:val="26"/>
                <w:szCs w:val="26"/>
                <w:rtl/>
              </w:rPr>
            </w:pPr>
            <w:r w:rsidRPr="00116E4D">
              <w:rPr>
                <w:rFonts w:ascii="Arial" w:hAnsi="Arial" w:hint="cs"/>
                <w:b/>
                <w:bCs/>
                <w:sz w:val="26"/>
                <w:szCs w:val="26"/>
                <w:rtl/>
              </w:rPr>
              <w:t>כב' השופטת עינת רביד</w:t>
            </w:r>
          </w:p>
          <w:p w:rsidR="00116E4D" w:rsidRPr="001346CC" w:rsidRDefault="00116E4D" w:rsidP="001346CC">
            <w:pPr>
              <w:rPr>
                <w:rFonts w:ascii="Arial" w:hAnsi="Arial" w:cs="FrankRuehl"/>
                <w:sz w:val="26"/>
                <w:szCs w:val="26"/>
                <w:highlight w:val="yellow"/>
              </w:rPr>
            </w:pPr>
            <w:r w:rsidRPr="00116E4D">
              <w:rPr>
                <w:rFonts w:ascii="Arial" w:hAnsi="Arial" w:hint="cs"/>
                <w:b/>
                <w:bCs/>
                <w:sz w:val="26"/>
                <w:szCs w:val="26"/>
                <w:rtl/>
              </w:rPr>
              <w:t>כב' השופט נפתלי שילה</w:t>
            </w: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4F389B" w:rsidRDefault="005C719B">
                <w:pPr>
                  <w:bidi w:val="0"/>
                  <w:jc w:val="right"/>
                  <w:rPr>
                    <w:rFonts w:ascii="Arial" w:hAnsi="Arial"/>
                    <w:b/>
                    <w:bCs/>
                    <w:noProof w:val="0"/>
                    <w:sz w:val="26"/>
                    <w:szCs w:val="26"/>
                    <w:rtl/>
                  </w:rPr>
                </w:pPr>
                <w:r>
                  <w:rPr>
                    <w:rFonts w:ascii="Arial" w:hAnsi="Arial" w:hint="cs"/>
                    <w:b/>
                    <w:bCs/>
                    <w:noProof w:val="0"/>
                    <w:sz w:val="26"/>
                    <w:szCs w:val="26"/>
                    <w:rtl/>
                  </w:rPr>
                  <w:t>ה</w:t>
                </w:r>
                <w:r w:rsidR="004B356B">
                  <w:rPr>
                    <w:rFonts w:ascii="Arial" w:hAnsi="Arial"/>
                    <w:b/>
                    <w:bCs/>
                    <w:noProof w:val="0"/>
                    <w:sz w:val="26"/>
                    <w:szCs w:val="26"/>
                    <w:rtl/>
                  </w:rPr>
                  <w:t>מערערים</w:t>
                </w:r>
              </w:p>
            </w:sdtContent>
          </w:sdt>
        </w:tc>
        <w:tc>
          <w:tcPr>
            <w:tcW w:w="5571" w:type="dxa"/>
          </w:tcPr>
          <w:p w:rsidR="00694556" w:rsidRPr="001346CC" w:rsidRDefault="00694556">
            <w:pPr>
              <w:rPr>
                <w:rFonts w:ascii="Arial" w:hAnsi="Arial"/>
                <w:b/>
                <w:bCs/>
                <w:noProof w:val="0"/>
                <w:sz w:val="26"/>
                <w:szCs w:val="26"/>
                <w:rtl/>
              </w:rPr>
            </w:pPr>
          </w:p>
          <w:p w:rsidR="003506A5" w:rsidRDefault="00DA4DCD">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FB7194">
                  <w:rPr>
                    <w:rFonts w:ascii="Arial" w:hAnsi="Arial"/>
                    <w:b/>
                    <w:bCs/>
                    <w:noProof w:val="0"/>
                    <w:sz w:val="26"/>
                    <w:szCs w:val="26"/>
                    <w:rtl/>
                  </w:rPr>
                  <w:t>דיור ב.פ.בעמ</w:t>
                </w:r>
              </w:sdtContent>
            </w:sdt>
          </w:p>
          <w:p w:rsidR="003506A5" w:rsidRDefault="00DA4DCD">
            <w:pPr>
              <w:rPr>
                <w:sz w:val="26"/>
                <w:szCs w:val="26"/>
                <w:rtl/>
              </w:rPr>
            </w:pPr>
            <w:sdt>
              <w:sdtPr>
                <w:rPr>
                  <w:sz w:val="26"/>
                  <w:szCs w:val="26"/>
                  <w:rtl/>
                </w:rPr>
                <w:alias w:val="1462"/>
                <w:tag w:val="1462"/>
                <w:id w:val="512961122"/>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1922172547"/>
                <w:text w:multiLine="1"/>
              </w:sdtPr>
              <w:sdtEndPr/>
              <w:sdtContent>
                <w:r w:rsidR="00FB7194">
                  <w:rPr>
                    <w:rFonts w:ascii="Arial" w:hAnsi="Arial"/>
                    <w:b/>
                    <w:bCs/>
                    <w:noProof w:val="0"/>
                    <w:sz w:val="26"/>
                    <w:szCs w:val="26"/>
                    <w:rtl/>
                  </w:rPr>
                  <w:t>א.מ.ת.ש. השקעות בע"מ</w:t>
                </w:r>
              </w:sdtContent>
            </w:sdt>
          </w:p>
          <w:p w:rsidR="003506A5" w:rsidRDefault="00DA4DCD">
            <w:pPr>
              <w:rPr>
                <w:sz w:val="26"/>
                <w:szCs w:val="26"/>
                <w:rtl/>
              </w:rPr>
            </w:pPr>
            <w:sdt>
              <w:sdtPr>
                <w:rPr>
                  <w:sz w:val="26"/>
                  <w:szCs w:val="26"/>
                  <w:rtl/>
                </w:rPr>
                <w:alias w:val="1462"/>
                <w:tag w:val="1462"/>
                <w:id w:val="1738978956"/>
                <w:text w:multiLine="1"/>
              </w:sdtPr>
              <w:sdtEndPr/>
              <w:sdtContent>
                <w:r w:rsidR="00FB7194">
                  <w:rPr>
                    <w:rFonts w:ascii="Arial" w:hAnsi="Arial"/>
                    <w:b/>
                    <w:bCs/>
                    <w:noProof w:val="0"/>
                    <w:sz w:val="26"/>
                    <w:szCs w:val="26"/>
                    <w:rtl/>
                  </w:rPr>
                  <w:t>3</w:t>
                </w:r>
              </w:sdtContent>
            </w:sdt>
            <w:r w:rsidR="00C22D93" w:rsidRPr="001346CC">
              <w:rPr>
                <w:b/>
                <w:bCs/>
                <w:noProof w:val="0"/>
                <w:sz w:val="26"/>
                <w:szCs w:val="26"/>
                <w:rtl/>
              </w:rPr>
              <w:t>.</w:t>
            </w:r>
            <w:sdt>
              <w:sdtPr>
                <w:rPr>
                  <w:sz w:val="26"/>
                  <w:szCs w:val="26"/>
                  <w:rtl/>
                </w:rPr>
                <w:alias w:val="1478"/>
                <w:tag w:val="1478"/>
                <w:id w:val="1500692862"/>
                <w:text w:multiLine="1"/>
              </w:sdtPr>
              <w:sdtEndPr/>
              <w:sdtContent>
                <w:r w:rsidR="00FB7194">
                  <w:rPr>
                    <w:rFonts w:ascii="Arial" w:hAnsi="Arial"/>
                    <w:b/>
                    <w:bCs/>
                    <w:noProof w:val="0"/>
                    <w:sz w:val="26"/>
                    <w:szCs w:val="26"/>
                    <w:rtl/>
                  </w:rPr>
                  <w:t>אלעד ישראל מגורים בע"מ</w:t>
                </w:r>
              </w:sdtContent>
            </w:sdt>
          </w:p>
          <w:p w:rsidR="00694556" w:rsidRPr="001346CC" w:rsidRDefault="003506A5">
            <w:pPr>
              <w:rPr>
                <w:b/>
                <w:bCs/>
                <w:noProof w:val="0"/>
                <w:sz w:val="26"/>
                <w:szCs w:val="26"/>
              </w:rPr>
            </w:pPr>
            <w:r>
              <w:rPr>
                <w:rFonts w:hint="cs"/>
                <w:sz w:val="26"/>
                <w:szCs w:val="26"/>
                <w:rtl/>
              </w:rPr>
              <w:t xml:space="preserve">ע"י ב"כ </w:t>
            </w:r>
            <w:r w:rsidR="00914C89" w:rsidRPr="00914C89">
              <w:rPr>
                <w:sz w:val="26"/>
                <w:szCs w:val="26"/>
                <w:rtl/>
              </w:rPr>
              <w:t>עו"ד גד חלד ועו"ד יוסי שכט</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DA4DCD">
            <w:pPr>
              <w:rPr>
                <w:rFonts w:ascii="Arial" w:hAnsi="Arial"/>
                <w:b/>
                <w:bCs/>
                <w:noProof w:val="0"/>
                <w:sz w:val="26"/>
                <w:szCs w:val="26"/>
              </w:rPr>
            </w:pPr>
            <w:sdt>
              <w:sdtPr>
                <w:rPr>
                  <w:sz w:val="26"/>
                  <w:szCs w:val="26"/>
                  <w:rtl/>
                </w:rPr>
                <w:alias w:val="1184"/>
                <w:tag w:val="1184"/>
                <w:id w:val="-310096844"/>
                <w:text w:multiLine="1"/>
              </w:sdtPr>
              <w:sdtEndPr/>
              <w:sdtContent>
                <w:r w:rsidR="005C719B">
                  <w:rPr>
                    <w:rFonts w:ascii="Arial" w:hAnsi="Arial" w:hint="cs"/>
                    <w:b/>
                    <w:bCs/>
                    <w:noProof w:val="0"/>
                    <w:sz w:val="26"/>
                    <w:szCs w:val="26"/>
                    <w:rtl/>
                  </w:rPr>
                  <w:t>ה</w:t>
                </w:r>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DA4DCD">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FB7194">
                  <w:rPr>
                    <w:rFonts w:ascii="Arial" w:hAnsi="Arial"/>
                    <w:b/>
                    <w:bCs/>
                    <w:noProof w:val="0"/>
                    <w:sz w:val="26"/>
                    <w:szCs w:val="26"/>
                    <w:rtl/>
                  </w:rPr>
                  <w:t>מנובלה מנובלה ז"ל  ואחרים</w:t>
                </w:r>
              </w:sdtContent>
            </w:sdt>
          </w:p>
          <w:p w:rsidR="003506A5" w:rsidRDefault="00DA4DCD">
            <w:pPr>
              <w:rPr>
                <w:sz w:val="26"/>
                <w:szCs w:val="26"/>
                <w:rtl/>
              </w:rPr>
            </w:pPr>
            <w:sdt>
              <w:sdtPr>
                <w:rPr>
                  <w:sz w:val="26"/>
                  <w:szCs w:val="26"/>
                  <w:rtl/>
                </w:rPr>
                <w:alias w:val="1571"/>
                <w:tag w:val="1571"/>
                <w:id w:val="2024203974"/>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793358182"/>
                <w:text w:multiLine="1"/>
              </w:sdtPr>
              <w:sdtEndPr/>
              <w:sdtContent>
                <w:r w:rsidR="00FB7194">
                  <w:rPr>
                    <w:rFonts w:ascii="Arial" w:hAnsi="Arial"/>
                    <w:b/>
                    <w:bCs/>
                    <w:noProof w:val="0"/>
                    <w:sz w:val="26"/>
                    <w:szCs w:val="26"/>
                    <w:rtl/>
                  </w:rPr>
                  <w:t>יוסף כהן ואחרים</w:t>
                </w:r>
              </w:sdtContent>
            </w:sdt>
          </w:p>
          <w:p w:rsidR="003506A5" w:rsidRDefault="00DA4DCD">
            <w:pPr>
              <w:rPr>
                <w:sz w:val="26"/>
                <w:szCs w:val="26"/>
                <w:rtl/>
              </w:rPr>
            </w:pPr>
            <w:sdt>
              <w:sdtPr>
                <w:rPr>
                  <w:sz w:val="26"/>
                  <w:szCs w:val="26"/>
                  <w:rtl/>
                </w:rPr>
                <w:alias w:val="1571"/>
                <w:tag w:val="1571"/>
                <w:id w:val="-655291260"/>
                <w:text w:multiLine="1"/>
              </w:sdtPr>
              <w:sdtEndPr/>
              <w:sdtContent>
                <w:r w:rsidR="00FB7194">
                  <w:rPr>
                    <w:rFonts w:ascii="Arial" w:hAnsi="Arial"/>
                    <w:b/>
                    <w:bCs/>
                    <w:noProof w:val="0"/>
                    <w:sz w:val="26"/>
                    <w:szCs w:val="26"/>
                    <w:rtl/>
                  </w:rPr>
                  <w:t>3</w:t>
                </w:r>
              </w:sdtContent>
            </w:sdt>
            <w:r w:rsidR="00C22D93" w:rsidRPr="001346CC">
              <w:rPr>
                <w:rFonts w:ascii="Arial" w:hAnsi="Arial"/>
                <w:b/>
                <w:bCs/>
                <w:noProof w:val="0"/>
                <w:sz w:val="26"/>
                <w:szCs w:val="26"/>
                <w:rtl/>
              </w:rPr>
              <w:t>.</w:t>
            </w:r>
            <w:sdt>
              <w:sdtPr>
                <w:rPr>
                  <w:sz w:val="26"/>
                  <w:szCs w:val="26"/>
                  <w:rtl/>
                </w:rPr>
                <w:alias w:val="1486"/>
                <w:tag w:val="1486"/>
                <w:id w:val="-1881547779"/>
                <w:text w:multiLine="1"/>
              </w:sdtPr>
              <w:sdtEndPr/>
              <w:sdtContent>
                <w:r w:rsidR="00FB7194">
                  <w:rPr>
                    <w:rFonts w:ascii="Arial" w:hAnsi="Arial"/>
                    <w:b/>
                    <w:bCs/>
                    <w:noProof w:val="0"/>
                    <w:sz w:val="26"/>
                    <w:szCs w:val="26"/>
                    <w:rtl/>
                  </w:rPr>
                  <w:t>אלי סלמה  ואחרים</w:t>
                </w:r>
              </w:sdtContent>
            </w:sdt>
          </w:p>
          <w:p w:rsidR="00694556" w:rsidRPr="001346CC" w:rsidRDefault="00914C89">
            <w:pPr>
              <w:rPr>
                <w:b/>
                <w:bCs/>
                <w:noProof w:val="0"/>
                <w:sz w:val="26"/>
                <w:szCs w:val="26"/>
                <w:rtl/>
              </w:rPr>
            </w:pPr>
            <w:r>
              <w:rPr>
                <w:rFonts w:hint="cs"/>
                <w:sz w:val="26"/>
                <w:szCs w:val="26"/>
                <w:rtl/>
              </w:rPr>
              <w:t>ע"י ב"כ עו"ד אלימלך קורצוייל</w:t>
            </w:r>
          </w:p>
          <w:p w:rsidR="003506A5" w:rsidRDefault="00DA4DCD">
            <w:pPr>
              <w:rPr>
                <w:sz w:val="26"/>
                <w:szCs w:val="26"/>
                <w:rtl/>
              </w:rPr>
            </w:pPr>
            <w:sdt>
              <w:sdtPr>
                <w:rPr>
                  <w:sz w:val="26"/>
                  <w:szCs w:val="26"/>
                  <w:rtl/>
                </w:rPr>
                <w:alias w:val="1571"/>
                <w:tag w:val="1571"/>
                <w:id w:val="978350622"/>
                <w:text w:multiLine="1"/>
              </w:sdtPr>
              <w:sdtEndPr/>
              <w:sdtContent>
                <w:r w:rsidR="00FB7194">
                  <w:rPr>
                    <w:rFonts w:ascii="Arial" w:hAnsi="Arial"/>
                    <w:b/>
                    <w:bCs/>
                    <w:noProof w:val="0"/>
                    <w:sz w:val="26"/>
                    <w:szCs w:val="26"/>
                    <w:rtl/>
                  </w:rPr>
                  <w:t>4</w:t>
                </w:r>
              </w:sdtContent>
            </w:sdt>
            <w:r w:rsidR="00C22D93" w:rsidRPr="001346CC">
              <w:rPr>
                <w:rFonts w:ascii="Arial" w:hAnsi="Arial"/>
                <w:b/>
                <w:bCs/>
                <w:noProof w:val="0"/>
                <w:sz w:val="26"/>
                <w:szCs w:val="26"/>
                <w:rtl/>
              </w:rPr>
              <w:t>.</w:t>
            </w:r>
            <w:sdt>
              <w:sdtPr>
                <w:rPr>
                  <w:sz w:val="26"/>
                  <w:szCs w:val="26"/>
                  <w:rtl/>
                </w:rPr>
                <w:alias w:val="1486"/>
                <w:tag w:val="1486"/>
                <w:id w:val="256798720"/>
                <w:text w:multiLine="1"/>
              </w:sdtPr>
              <w:sdtEndPr/>
              <w:sdtContent>
                <w:r w:rsidR="00FB7194">
                  <w:rPr>
                    <w:rFonts w:ascii="Arial" w:hAnsi="Arial"/>
                    <w:b/>
                    <w:bCs/>
                    <w:noProof w:val="0"/>
                    <w:sz w:val="26"/>
                    <w:szCs w:val="26"/>
                    <w:rtl/>
                  </w:rPr>
                  <w:t>ציונה יהוד שרפי ואחרים</w:t>
                </w:r>
              </w:sdtContent>
            </w:sdt>
          </w:p>
          <w:p w:rsidR="00694556" w:rsidRPr="001346CC" w:rsidRDefault="00914C89">
            <w:pPr>
              <w:rPr>
                <w:b/>
                <w:bCs/>
                <w:noProof w:val="0"/>
                <w:sz w:val="26"/>
                <w:szCs w:val="26"/>
                <w:rtl/>
              </w:rPr>
            </w:pPr>
            <w:r>
              <w:rPr>
                <w:rFonts w:hint="cs"/>
                <w:sz w:val="26"/>
                <w:szCs w:val="26"/>
                <w:rtl/>
              </w:rPr>
              <w:t>ע"י ב"כ עו"ד שאול קוטלר</w:t>
            </w:r>
          </w:p>
          <w:p w:rsidR="003506A5" w:rsidRDefault="00DA4DCD">
            <w:pPr>
              <w:rPr>
                <w:sz w:val="26"/>
                <w:szCs w:val="26"/>
                <w:rtl/>
              </w:rPr>
            </w:pPr>
            <w:sdt>
              <w:sdtPr>
                <w:rPr>
                  <w:sz w:val="26"/>
                  <w:szCs w:val="26"/>
                  <w:rtl/>
                </w:rPr>
                <w:alias w:val="1571"/>
                <w:tag w:val="1571"/>
                <w:id w:val="205077307"/>
                <w:text w:multiLine="1"/>
              </w:sdtPr>
              <w:sdtEndPr/>
              <w:sdtContent>
                <w:r w:rsidR="00FB7194">
                  <w:rPr>
                    <w:rFonts w:ascii="Arial" w:hAnsi="Arial"/>
                    <w:b/>
                    <w:bCs/>
                    <w:noProof w:val="0"/>
                    <w:sz w:val="26"/>
                    <w:szCs w:val="26"/>
                    <w:rtl/>
                  </w:rPr>
                  <w:t>5</w:t>
                </w:r>
              </w:sdtContent>
            </w:sdt>
            <w:r w:rsidR="00C22D93" w:rsidRPr="001346CC">
              <w:rPr>
                <w:rFonts w:ascii="Arial" w:hAnsi="Arial"/>
                <w:b/>
                <w:bCs/>
                <w:noProof w:val="0"/>
                <w:sz w:val="26"/>
                <w:szCs w:val="26"/>
                <w:rtl/>
              </w:rPr>
              <w:t>.</w:t>
            </w:r>
            <w:sdt>
              <w:sdtPr>
                <w:rPr>
                  <w:sz w:val="26"/>
                  <w:szCs w:val="26"/>
                  <w:rtl/>
                </w:rPr>
                <w:alias w:val="1486"/>
                <w:tag w:val="1486"/>
                <w:id w:val="1537537807"/>
                <w:text w:multiLine="1"/>
              </w:sdtPr>
              <w:sdtEndPr/>
              <w:sdtContent>
                <w:r w:rsidR="00FB7194">
                  <w:rPr>
                    <w:rFonts w:ascii="Arial" w:hAnsi="Arial"/>
                    <w:b/>
                    <w:bCs/>
                    <w:noProof w:val="0"/>
                    <w:sz w:val="26"/>
                    <w:szCs w:val="26"/>
                    <w:rtl/>
                  </w:rPr>
                  <w:t>עמליה פהימין ואחרים</w:t>
                </w:r>
              </w:sdtContent>
            </w:sdt>
          </w:p>
          <w:p w:rsidR="00694556" w:rsidRPr="001346CC" w:rsidRDefault="00914C89">
            <w:pPr>
              <w:rPr>
                <w:b/>
                <w:bCs/>
                <w:noProof w:val="0"/>
                <w:sz w:val="26"/>
                <w:szCs w:val="26"/>
                <w:rtl/>
              </w:rPr>
            </w:pPr>
            <w:r>
              <w:rPr>
                <w:rFonts w:hint="cs"/>
                <w:sz w:val="26"/>
                <w:szCs w:val="26"/>
                <w:rtl/>
              </w:rPr>
              <w:t>ע"י ב"כ עו"ד אלימלך קורצוייל</w:t>
            </w:r>
          </w:p>
          <w:p w:rsidR="003506A5" w:rsidRDefault="00DA4DCD">
            <w:pPr>
              <w:rPr>
                <w:sz w:val="26"/>
                <w:szCs w:val="26"/>
                <w:rtl/>
              </w:rPr>
            </w:pPr>
            <w:sdt>
              <w:sdtPr>
                <w:rPr>
                  <w:sz w:val="26"/>
                  <w:szCs w:val="26"/>
                  <w:rtl/>
                </w:rPr>
                <w:alias w:val="1571"/>
                <w:tag w:val="1571"/>
                <w:id w:val="1282458580"/>
                <w:text w:multiLine="1"/>
              </w:sdtPr>
              <w:sdtEndPr/>
              <w:sdtContent>
                <w:r w:rsidR="00FB7194">
                  <w:rPr>
                    <w:rFonts w:ascii="Arial" w:hAnsi="Arial"/>
                    <w:b/>
                    <w:bCs/>
                    <w:noProof w:val="0"/>
                    <w:sz w:val="26"/>
                    <w:szCs w:val="26"/>
                    <w:rtl/>
                  </w:rPr>
                  <w:t>6</w:t>
                </w:r>
              </w:sdtContent>
            </w:sdt>
            <w:r w:rsidR="00C22D93" w:rsidRPr="001346CC">
              <w:rPr>
                <w:rFonts w:ascii="Arial" w:hAnsi="Arial"/>
                <w:b/>
                <w:bCs/>
                <w:noProof w:val="0"/>
                <w:sz w:val="26"/>
                <w:szCs w:val="26"/>
                <w:rtl/>
              </w:rPr>
              <w:t>.</w:t>
            </w:r>
            <w:sdt>
              <w:sdtPr>
                <w:rPr>
                  <w:sz w:val="26"/>
                  <w:szCs w:val="26"/>
                  <w:rtl/>
                </w:rPr>
                <w:alias w:val="1486"/>
                <w:tag w:val="1486"/>
                <w:id w:val="-447537245"/>
                <w:text w:multiLine="1"/>
              </w:sdtPr>
              <w:sdtEndPr/>
              <w:sdtContent>
                <w:r w:rsidR="00FB7194">
                  <w:rPr>
                    <w:rFonts w:ascii="Arial" w:hAnsi="Arial"/>
                    <w:b/>
                    <w:bCs/>
                    <w:noProof w:val="0"/>
                    <w:sz w:val="26"/>
                    <w:szCs w:val="26"/>
                    <w:rtl/>
                  </w:rPr>
                  <w:t>בן חיים לוי ואחרים</w:t>
                </w:r>
              </w:sdtContent>
            </w:sdt>
          </w:p>
          <w:p w:rsidR="00694556" w:rsidRPr="001346CC" w:rsidRDefault="00914C89">
            <w:pPr>
              <w:rPr>
                <w:b/>
                <w:bCs/>
                <w:noProof w:val="0"/>
                <w:sz w:val="26"/>
                <w:szCs w:val="26"/>
                <w:rtl/>
              </w:rPr>
            </w:pPr>
            <w:r>
              <w:rPr>
                <w:rFonts w:hint="cs"/>
                <w:sz w:val="26"/>
                <w:szCs w:val="26"/>
                <w:rtl/>
              </w:rPr>
              <w:t>ע"י ב"כ עו"ד יאיר פרלה</w:t>
            </w:r>
          </w:p>
          <w:p w:rsidR="003506A5" w:rsidRDefault="00DA4DCD">
            <w:pPr>
              <w:rPr>
                <w:sz w:val="26"/>
                <w:szCs w:val="26"/>
                <w:rtl/>
              </w:rPr>
            </w:pPr>
            <w:sdt>
              <w:sdtPr>
                <w:rPr>
                  <w:sz w:val="26"/>
                  <w:szCs w:val="26"/>
                  <w:rtl/>
                </w:rPr>
                <w:alias w:val="1571"/>
                <w:tag w:val="1571"/>
                <w:id w:val="717865099"/>
                <w:text w:multiLine="1"/>
              </w:sdtPr>
              <w:sdtEndPr/>
              <w:sdtContent>
                <w:r w:rsidR="00FB7194">
                  <w:rPr>
                    <w:rFonts w:ascii="Arial" w:hAnsi="Arial"/>
                    <w:b/>
                    <w:bCs/>
                    <w:noProof w:val="0"/>
                    <w:sz w:val="26"/>
                    <w:szCs w:val="26"/>
                    <w:rtl/>
                  </w:rPr>
                  <w:t>7</w:t>
                </w:r>
              </w:sdtContent>
            </w:sdt>
            <w:r w:rsidR="00C22D93" w:rsidRPr="001346CC">
              <w:rPr>
                <w:rFonts w:ascii="Arial" w:hAnsi="Arial"/>
                <w:b/>
                <w:bCs/>
                <w:noProof w:val="0"/>
                <w:sz w:val="26"/>
                <w:szCs w:val="26"/>
                <w:rtl/>
              </w:rPr>
              <w:t>.</w:t>
            </w:r>
            <w:sdt>
              <w:sdtPr>
                <w:rPr>
                  <w:sz w:val="26"/>
                  <w:szCs w:val="26"/>
                  <w:rtl/>
                </w:rPr>
                <w:alias w:val="1486"/>
                <w:tag w:val="1486"/>
                <w:id w:val="1683318496"/>
                <w:text w:multiLine="1"/>
              </w:sdtPr>
              <w:sdtEndPr/>
              <w:sdtContent>
                <w:r w:rsidR="00FB7194">
                  <w:rPr>
                    <w:rFonts w:ascii="Arial" w:hAnsi="Arial"/>
                    <w:b/>
                    <w:bCs/>
                    <w:noProof w:val="0"/>
                    <w:sz w:val="26"/>
                    <w:szCs w:val="26"/>
                    <w:rtl/>
                  </w:rPr>
                  <w:t>אליעזר סעידי ואחרים</w:t>
                </w:r>
              </w:sdtContent>
            </w:sdt>
          </w:p>
          <w:p w:rsidR="003506A5" w:rsidRDefault="00DA4DCD">
            <w:pPr>
              <w:rPr>
                <w:sz w:val="26"/>
                <w:szCs w:val="26"/>
                <w:rtl/>
              </w:rPr>
            </w:pPr>
            <w:sdt>
              <w:sdtPr>
                <w:rPr>
                  <w:sz w:val="26"/>
                  <w:szCs w:val="26"/>
                  <w:rtl/>
                </w:rPr>
                <w:alias w:val="1571"/>
                <w:tag w:val="1571"/>
                <w:id w:val="-2053457747"/>
                <w:text w:multiLine="1"/>
              </w:sdtPr>
              <w:sdtEndPr/>
              <w:sdtContent>
                <w:r w:rsidR="00FB7194">
                  <w:rPr>
                    <w:rFonts w:ascii="Arial" w:hAnsi="Arial"/>
                    <w:b/>
                    <w:bCs/>
                    <w:noProof w:val="0"/>
                    <w:sz w:val="26"/>
                    <w:szCs w:val="26"/>
                    <w:rtl/>
                  </w:rPr>
                  <w:t>8</w:t>
                </w:r>
              </w:sdtContent>
            </w:sdt>
            <w:r w:rsidR="00C22D93" w:rsidRPr="001346CC">
              <w:rPr>
                <w:rFonts w:ascii="Arial" w:hAnsi="Arial"/>
                <w:b/>
                <w:bCs/>
                <w:noProof w:val="0"/>
                <w:sz w:val="26"/>
                <w:szCs w:val="26"/>
                <w:rtl/>
              </w:rPr>
              <w:t>.</w:t>
            </w:r>
            <w:sdt>
              <w:sdtPr>
                <w:rPr>
                  <w:sz w:val="26"/>
                  <w:szCs w:val="26"/>
                  <w:rtl/>
                </w:rPr>
                <w:alias w:val="1486"/>
                <w:tag w:val="1486"/>
                <w:id w:val="1240447078"/>
                <w:text w:multiLine="1"/>
              </w:sdtPr>
              <w:sdtEndPr/>
              <w:sdtContent>
                <w:r w:rsidR="00FB7194">
                  <w:rPr>
                    <w:rFonts w:ascii="Arial" w:hAnsi="Arial"/>
                    <w:b/>
                    <w:bCs/>
                    <w:noProof w:val="0"/>
                    <w:sz w:val="26"/>
                    <w:szCs w:val="26"/>
                    <w:rtl/>
                  </w:rPr>
                  <w:t>ראובן מזור ואחרים</w:t>
                </w:r>
              </w:sdtContent>
            </w:sdt>
          </w:p>
          <w:p w:rsidR="00694556" w:rsidRPr="001346CC" w:rsidRDefault="00914C89">
            <w:pPr>
              <w:rPr>
                <w:b/>
                <w:bCs/>
                <w:noProof w:val="0"/>
                <w:sz w:val="26"/>
                <w:szCs w:val="26"/>
                <w:rtl/>
              </w:rPr>
            </w:pPr>
            <w:r>
              <w:rPr>
                <w:rFonts w:hint="cs"/>
                <w:sz w:val="26"/>
                <w:szCs w:val="26"/>
                <w:rtl/>
              </w:rPr>
              <w:t>ע"י ב"כ עו"ד גיא מזור</w:t>
            </w:r>
          </w:p>
          <w:p w:rsidR="003506A5" w:rsidRDefault="00DA4DCD">
            <w:pPr>
              <w:rPr>
                <w:sz w:val="26"/>
                <w:szCs w:val="26"/>
                <w:rtl/>
              </w:rPr>
            </w:pPr>
            <w:sdt>
              <w:sdtPr>
                <w:rPr>
                  <w:sz w:val="26"/>
                  <w:szCs w:val="26"/>
                  <w:rtl/>
                </w:rPr>
                <w:alias w:val="1571"/>
                <w:tag w:val="1571"/>
                <w:id w:val="1745837353"/>
                <w:text w:multiLine="1"/>
              </w:sdtPr>
              <w:sdtEndPr/>
              <w:sdtContent>
                <w:r w:rsidR="00FB7194">
                  <w:rPr>
                    <w:rFonts w:ascii="Arial" w:hAnsi="Arial"/>
                    <w:b/>
                    <w:bCs/>
                    <w:noProof w:val="0"/>
                    <w:sz w:val="26"/>
                    <w:szCs w:val="26"/>
                    <w:rtl/>
                  </w:rPr>
                  <w:t>9</w:t>
                </w:r>
              </w:sdtContent>
            </w:sdt>
            <w:r w:rsidR="00C22D93" w:rsidRPr="001346CC">
              <w:rPr>
                <w:rFonts w:ascii="Arial" w:hAnsi="Arial"/>
                <w:b/>
                <w:bCs/>
                <w:noProof w:val="0"/>
                <w:sz w:val="26"/>
                <w:szCs w:val="26"/>
                <w:rtl/>
              </w:rPr>
              <w:t>.</w:t>
            </w:r>
            <w:sdt>
              <w:sdtPr>
                <w:rPr>
                  <w:sz w:val="26"/>
                  <w:szCs w:val="26"/>
                  <w:rtl/>
                </w:rPr>
                <w:alias w:val="1486"/>
                <w:tag w:val="1486"/>
                <w:id w:val="534311737"/>
                <w:text w:multiLine="1"/>
              </w:sdtPr>
              <w:sdtEndPr/>
              <w:sdtContent>
                <w:r w:rsidR="00FB7194">
                  <w:rPr>
                    <w:rFonts w:ascii="Arial" w:hAnsi="Arial"/>
                    <w:b/>
                    <w:bCs/>
                    <w:noProof w:val="0"/>
                    <w:sz w:val="26"/>
                    <w:szCs w:val="26"/>
                    <w:rtl/>
                  </w:rPr>
                  <w:t>אריה ציון ואחרים</w:t>
                </w:r>
              </w:sdtContent>
            </w:sdt>
          </w:p>
          <w:p w:rsidR="00694556" w:rsidRPr="001346CC" w:rsidRDefault="00914C89">
            <w:pPr>
              <w:rPr>
                <w:b/>
                <w:bCs/>
                <w:noProof w:val="0"/>
                <w:sz w:val="26"/>
                <w:szCs w:val="26"/>
                <w:rtl/>
              </w:rPr>
            </w:pPr>
            <w:r>
              <w:rPr>
                <w:rFonts w:hint="cs"/>
                <w:sz w:val="26"/>
                <w:szCs w:val="26"/>
                <w:rtl/>
              </w:rPr>
              <w:t>ע"י ב"כ עו"ד תמיר ניסני</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rsidP="005C719B">
            <w:pPr>
              <w:bidi w:val="0"/>
              <w:spacing w:after="24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5C719B" w:rsidRDefault="005C719B" w:rsidP="005C719B">
      <w:pPr>
        <w:pStyle w:val="Ruller40"/>
        <w:spacing w:after="240"/>
        <w:rPr>
          <w:rFonts w:ascii="David" w:hAnsi="David" w:cs="David"/>
          <w:b/>
          <w:bCs/>
          <w:sz w:val="24"/>
          <w:szCs w:val="24"/>
          <w:u w:val="single"/>
          <w:rtl/>
        </w:rPr>
      </w:pPr>
      <w:r>
        <w:rPr>
          <w:rFonts w:ascii="David" w:hAnsi="David" w:cs="David"/>
          <w:b/>
          <w:bCs/>
          <w:sz w:val="24"/>
          <w:szCs w:val="24"/>
          <w:u w:val="single"/>
          <w:rtl/>
        </w:rPr>
        <w:t>השופט שאול שוחט, סגן נשיא, אב"ד</w:t>
      </w:r>
    </w:p>
    <w:p w:rsidR="005C719B" w:rsidRDefault="005C719B" w:rsidP="005C719B">
      <w:pPr>
        <w:pStyle w:val="Ruller40"/>
        <w:rPr>
          <w:rFonts w:ascii="David" w:hAnsi="David" w:cs="David"/>
          <w:sz w:val="24"/>
          <w:szCs w:val="24"/>
          <w:rtl/>
        </w:rPr>
      </w:pPr>
      <w:r>
        <w:rPr>
          <w:rFonts w:ascii="David" w:hAnsi="David" w:cs="David"/>
          <w:sz w:val="24"/>
          <w:szCs w:val="24"/>
          <w:rtl/>
        </w:rPr>
        <w:t>ערעור על החלטת בית משפט השלום במחוז תל אביב יפו (כב' הש' הבכיר מריו קליין), במספר תיקים מאוחדים, מיום 24.9.22, בה הורה לנאמן, שמחזיק בכספי פיצויים שמגיעים למשיבים, להעביר להם כספים אלה ולהגיש "</w:t>
      </w:r>
      <w:r>
        <w:rPr>
          <w:rFonts w:ascii="David" w:hAnsi="David" w:cs="David"/>
          <w:b/>
          <w:bCs/>
          <w:sz w:val="24"/>
          <w:szCs w:val="24"/>
          <w:rtl/>
        </w:rPr>
        <w:t>דו"ח סיכום הטיפול</w:t>
      </w:r>
      <w:r>
        <w:rPr>
          <w:rFonts w:ascii="David" w:hAnsi="David" w:cs="David"/>
          <w:sz w:val="24"/>
          <w:szCs w:val="24"/>
          <w:rtl/>
        </w:rPr>
        <w:t>" בשכונת גבעת עמל לאישור סופי של בית  המשפט.</w:t>
      </w:r>
    </w:p>
    <w:p w:rsidR="005C719B" w:rsidRDefault="005C719B" w:rsidP="005C719B">
      <w:pPr>
        <w:pStyle w:val="Ruller40"/>
        <w:rPr>
          <w:rFonts w:ascii="David" w:hAnsi="David" w:cs="David"/>
          <w:sz w:val="24"/>
          <w:szCs w:val="24"/>
          <w:rtl/>
        </w:rPr>
      </w:pPr>
    </w:p>
    <w:p w:rsidR="005C719B" w:rsidRDefault="005C719B" w:rsidP="005C719B">
      <w:pPr>
        <w:pStyle w:val="Ruller40"/>
        <w:rPr>
          <w:rFonts w:ascii="David" w:hAnsi="David" w:cs="David"/>
          <w:b/>
          <w:bCs/>
          <w:sz w:val="24"/>
          <w:szCs w:val="24"/>
          <w:u w:val="single"/>
          <w:rtl/>
        </w:rPr>
      </w:pPr>
      <w:r>
        <w:rPr>
          <w:rFonts w:ascii="David" w:hAnsi="David" w:cs="David"/>
          <w:b/>
          <w:bCs/>
          <w:sz w:val="24"/>
          <w:szCs w:val="24"/>
          <w:u w:val="single"/>
          <w:rtl/>
        </w:rPr>
        <w:t>העובדות הצריכות לעניין</w:t>
      </w:r>
    </w:p>
    <w:p w:rsidR="005C719B" w:rsidRDefault="005C719B" w:rsidP="005C719B">
      <w:pPr>
        <w:spacing w:before="240" w:after="240" w:line="360" w:lineRule="auto"/>
        <w:jc w:val="both"/>
        <w:rPr>
          <w:rFonts w:ascii="David" w:hAnsi="David"/>
          <w:rtl/>
        </w:rPr>
      </w:pPr>
      <w:r>
        <w:rPr>
          <w:rFonts w:ascii="David" w:hAnsi="David"/>
          <w:rtl/>
        </w:rPr>
        <w:t xml:space="preserve">בביהמ"ש קמא התנהלו מספר תביעות לפינוי וסילוק יד ולתשלום דמי שימוש ראויים בגין מספר חלקות קרקע בשכונת גבעת עמל ב' בתל אביב. המערערות הן הבעלים של הזכויות בחלקות הקרקע (להלן: </w:t>
      </w:r>
      <w:r>
        <w:rPr>
          <w:rFonts w:ascii="David" w:hAnsi="David"/>
          <w:b/>
          <w:bCs/>
          <w:rtl/>
        </w:rPr>
        <w:t>המערערות</w:t>
      </w:r>
      <w:r>
        <w:rPr>
          <w:rFonts w:ascii="David" w:hAnsi="David"/>
          <w:rtl/>
        </w:rPr>
        <w:t xml:space="preserve">) והן אלו שהגישו את התביעות, נגד המחזיקים בהן. </w:t>
      </w:r>
    </w:p>
    <w:p w:rsidR="005C719B" w:rsidRDefault="005C719B" w:rsidP="005C719B">
      <w:pPr>
        <w:spacing w:before="240" w:after="240" w:line="360" w:lineRule="auto"/>
        <w:jc w:val="both"/>
        <w:rPr>
          <w:rFonts w:ascii="David" w:hAnsi="David"/>
          <w:rtl/>
        </w:rPr>
      </w:pPr>
      <w:r>
        <w:rPr>
          <w:rFonts w:ascii="David" w:hAnsi="David"/>
          <w:rtl/>
        </w:rPr>
        <w:lastRenderedPageBreak/>
        <w:t>ביום 14.6.18 הוציא בית משפט קמא מלפניו פסק דין במסגרתו התקבלו תביעות הפינוי נגד המחזיקים כולם בכפוף לתשלום פיצוי כספי בגין הפינוי בסכום שקבע לכל משפחה גרעינית שנמצאה זכאית לפיצוי. עוד נקבע, כי ככל שהופקדו כספי הפיצויים "</w:t>
      </w:r>
      <w:r>
        <w:rPr>
          <w:rFonts w:ascii="David" w:hAnsi="David"/>
          <w:b/>
          <w:bCs/>
          <w:rtl/>
        </w:rPr>
        <w:t xml:space="preserve">אזי החל מהמועד הקובע ועד לפינוי בפועל יישלמו הנתבעים דמי שימוש ראויים בסך 5000 ₪ עבור כל שבוע או חלק ממנו בו ימשיכו להחזיק במקרקעין". </w:t>
      </w:r>
      <w:r>
        <w:rPr>
          <w:rFonts w:ascii="David" w:hAnsi="David"/>
          <w:rtl/>
        </w:rPr>
        <w:t xml:space="preserve">בפסק הדין מינה בית המשפט קמא נאמן לקבל את הפיצוי הכספי מהמערערות, לשמור עליו ולהעבירו למחזיקים בכפוף לפינוי המתחם (להלן: </w:t>
      </w:r>
      <w:r>
        <w:rPr>
          <w:rFonts w:ascii="David" w:hAnsi="David"/>
          <w:b/>
          <w:bCs/>
          <w:rtl/>
        </w:rPr>
        <w:t>פסק הפינוי והפיצוי</w:t>
      </w:r>
      <w:r>
        <w:rPr>
          <w:rFonts w:ascii="David" w:hAnsi="David"/>
          <w:rtl/>
        </w:rPr>
        <w:t>).</w:t>
      </w:r>
    </w:p>
    <w:p w:rsidR="005C719B" w:rsidRDefault="005C719B" w:rsidP="005C719B">
      <w:pPr>
        <w:spacing w:before="240" w:after="240" w:line="360" w:lineRule="auto"/>
        <w:jc w:val="both"/>
        <w:rPr>
          <w:rFonts w:ascii="David" w:hAnsi="David"/>
          <w:rtl/>
        </w:rPr>
      </w:pPr>
      <w:r>
        <w:rPr>
          <w:rFonts w:ascii="David" w:hAnsi="David"/>
          <w:rtl/>
        </w:rPr>
        <w:t>הצדדים לפסק הפינוי והפיצוי לא השלימו עם פסק הדין והגישו עליו ערעור לבית המשפט המחוזי (ע"א (ת"א) 6097-09-18). הערעור שהגישו המחזיקים התקבל בחלקו. בית המשפט המחוזי הגדיל את סכום הפיצוי לכל משפחה גרעינית לכדי 3 מיליון ₪, הותיר את דמי השימוש הראויים שיהא על המחזיקים שלא יפנו במועד לשלם על כנם "</w:t>
      </w:r>
      <w:r>
        <w:rPr>
          <w:rFonts w:ascii="David" w:hAnsi="David"/>
          <w:b/>
          <w:bCs/>
          <w:rtl/>
        </w:rPr>
        <w:t>הכל כפי שקבע ויקבע בית משפט קמא (כולל אם ימצא לנכון לשנות את הסכומים שקבע לאור פסק דיננו) ובהתאם להנחיותיו, הוראותיו ופיקוחו של בית משפט קמא אלו שכבר ניתנו ואלו שיינתנו בעתיד (לאחר פסק דיננו)</w:t>
      </w:r>
      <w:r>
        <w:rPr>
          <w:rFonts w:ascii="David" w:hAnsi="David"/>
          <w:rtl/>
        </w:rPr>
        <w:t xml:space="preserve">" (להלן: </w:t>
      </w:r>
      <w:r>
        <w:rPr>
          <w:rFonts w:ascii="David" w:hAnsi="David"/>
          <w:b/>
          <w:bCs/>
          <w:rtl/>
        </w:rPr>
        <w:t>פסק הדין בערעור</w:t>
      </w:r>
      <w:r>
        <w:rPr>
          <w:rFonts w:ascii="David" w:hAnsi="David"/>
          <w:rtl/>
        </w:rPr>
        <w:t>).</w:t>
      </w:r>
    </w:p>
    <w:p w:rsidR="005C719B" w:rsidRDefault="005C719B" w:rsidP="005C719B">
      <w:pPr>
        <w:spacing w:before="240" w:after="240" w:line="360" w:lineRule="auto"/>
        <w:jc w:val="both"/>
        <w:rPr>
          <w:rFonts w:ascii="David" w:hAnsi="David"/>
          <w:rtl/>
        </w:rPr>
      </w:pPr>
      <w:r>
        <w:rPr>
          <w:rFonts w:ascii="David" w:hAnsi="David"/>
          <w:rtl/>
        </w:rPr>
        <w:t>בקשות רשות ערעור שהוגשו לבית משפט העליון על פסק הדין בערעור נדחו ביום 29.11.20 תוך ההתייחסות הבאה לדמי השימוש הראויים: "</w:t>
      </w:r>
      <w:r>
        <w:rPr>
          <w:rFonts w:ascii="David" w:hAnsi="David"/>
          <w:b/>
          <w:bCs/>
          <w:rtl/>
        </w:rPr>
        <w:t>כן מצאתי להעיר כי חלק מבקשותיהם של המחזיקים העלו טענות לגבי חיובם בדמי שימוש ראויים. עיון בפסק דינו של בית המשפט המחוזי מעלה כי טענה זו מצד הרוכשים דווקא נדחתה (פסקאות 137-136 לפסק דינו של בית המשפט המחוזי). כל שצוין בו לעניין זה הוא שהחיוב יחול על המחזיקים רק לאחר מועד הפינוי כפי שזה ייקבע על ידי בית משפט השלום. קביעה זו מניחה את הדעת ואינה מצדיקה התערבות</w:t>
      </w:r>
      <w:r>
        <w:rPr>
          <w:rFonts w:ascii="David" w:hAnsi="David"/>
          <w:rtl/>
        </w:rPr>
        <w:t xml:space="preserve">" (להלן: </w:t>
      </w:r>
      <w:r>
        <w:rPr>
          <w:rFonts w:ascii="David" w:hAnsi="David"/>
          <w:b/>
          <w:bCs/>
          <w:rtl/>
        </w:rPr>
        <w:t>פסק הדין בעליון</w:t>
      </w:r>
      <w:r>
        <w:rPr>
          <w:rFonts w:ascii="David" w:hAnsi="David"/>
          <w:rtl/>
        </w:rPr>
        <w:t>).</w:t>
      </w:r>
    </w:p>
    <w:p w:rsidR="005C719B" w:rsidRDefault="005C719B" w:rsidP="005C719B">
      <w:pPr>
        <w:spacing w:before="240" w:after="240" w:line="360" w:lineRule="auto"/>
        <w:jc w:val="both"/>
        <w:rPr>
          <w:rFonts w:ascii="David" w:hAnsi="David"/>
          <w:rtl/>
        </w:rPr>
      </w:pPr>
      <w:r>
        <w:rPr>
          <w:rFonts w:ascii="David" w:hAnsi="David"/>
          <w:rtl/>
        </w:rPr>
        <w:t>ביום 25.3.21 הפקידו המערערות את כספי הפיצוי בידי הנאמן כך שבהתאם לפסק הדין היה על המחזיקים לפנות את חלקות הקרקע עד ולא יאוחר מיום 25.4.21.</w:t>
      </w:r>
    </w:p>
    <w:p w:rsidR="005C719B" w:rsidRDefault="005C719B" w:rsidP="005C719B">
      <w:pPr>
        <w:spacing w:before="240" w:after="240" w:line="360" w:lineRule="auto"/>
        <w:jc w:val="both"/>
        <w:rPr>
          <w:rFonts w:ascii="David" w:hAnsi="David"/>
          <w:rtl/>
        </w:rPr>
      </w:pPr>
      <w:r>
        <w:rPr>
          <w:rFonts w:ascii="David" w:hAnsi="David"/>
          <w:rtl/>
        </w:rPr>
        <w:t>המשיבים, כולם, הם מחזיקים שנותרו בחלקות הקרקע לאחר המועד האמור ופונו לאחר הליכי הוצל"פ ביום 15.11.21, באיחור של 29 שבועות מהמועד שנקבע ולאחר הליכי הוצל"פ מורכבים.</w:t>
      </w:r>
    </w:p>
    <w:p w:rsidR="005C719B" w:rsidRDefault="005C719B" w:rsidP="005C719B">
      <w:pPr>
        <w:spacing w:before="240" w:after="240" w:line="360" w:lineRule="auto"/>
        <w:jc w:val="both"/>
        <w:rPr>
          <w:rFonts w:ascii="David" w:hAnsi="David"/>
          <w:rtl/>
        </w:rPr>
      </w:pPr>
      <w:r>
        <w:rPr>
          <w:rFonts w:ascii="David" w:hAnsi="David"/>
          <w:rtl/>
        </w:rPr>
        <w:t>המערערות פנו לנאמן בדרישה לקבל את דמי השימוש שעוכבו בידו ומנגד המשיבים פנו לנאמן בדרישה לקבל את דמי הפיצוי שבידו.</w:t>
      </w:r>
    </w:p>
    <w:p w:rsidR="005C719B" w:rsidRDefault="005C719B" w:rsidP="005C719B">
      <w:pPr>
        <w:spacing w:before="240" w:after="240" w:line="360" w:lineRule="auto"/>
        <w:jc w:val="both"/>
        <w:rPr>
          <w:rFonts w:ascii="David" w:hAnsi="David"/>
          <w:rtl/>
        </w:rPr>
      </w:pPr>
      <w:r>
        <w:rPr>
          <w:rFonts w:ascii="David" w:hAnsi="David"/>
          <w:rtl/>
        </w:rPr>
        <w:t>הנאמן פנה לביהמ"ש קמא בבקשה למתן הוראות.</w:t>
      </w:r>
    </w:p>
    <w:p w:rsidR="005C719B" w:rsidRDefault="005C719B" w:rsidP="005C719B">
      <w:pPr>
        <w:spacing w:before="240" w:after="240" w:line="360" w:lineRule="auto"/>
        <w:jc w:val="both"/>
        <w:rPr>
          <w:rFonts w:ascii="David" w:hAnsi="David"/>
          <w:rtl/>
        </w:rPr>
      </w:pPr>
      <w:r>
        <w:rPr>
          <w:rFonts w:ascii="David" w:hAnsi="David"/>
          <w:rtl/>
        </w:rPr>
        <w:t>ההחלטה מושא הערעור ניתנה בבקשה זו של הנאמן.</w:t>
      </w:r>
    </w:p>
    <w:p w:rsidR="005C719B" w:rsidRDefault="005C719B" w:rsidP="005C719B">
      <w:pPr>
        <w:spacing w:before="240" w:after="240" w:line="360" w:lineRule="auto"/>
        <w:jc w:val="both"/>
        <w:rPr>
          <w:rFonts w:ascii="David" w:hAnsi="David"/>
          <w:b/>
          <w:bCs/>
          <w:u w:val="single"/>
          <w:rtl/>
        </w:rPr>
      </w:pPr>
      <w:r>
        <w:rPr>
          <w:rFonts w:ascii="David" w:hAnsi="David"/>
          <w:b/>
          <w:bCs/>
          <w:u w:val="single"/>
          <w:rtl/>
        </w:rPr>
        <w:t>ההחלטה מושא הערעור</w:t>
      </w:r>
    </w:p>
    <w:p w:rsidR="005C719B" w:rsidRDefault="005C719B" w:rsidP="005C719B">
      <w:pPr>
        <w:spacing w:before="240" w:after="240" w:line="360" w:lineRule="auto"/>
        <w:jc w:val="both"/>
        <w:rPr>
          <w:rFonts w:ascii="David" w:hAnsi="David"/>
          <w:rtl/>
        </w:rPr>
      </w:pPr>
      <w:r>
        <w:rPr>
          <w:rFonts w:ascii="David" w:hAnsi="David"/>
          <w:rtl/>
        </w:rPr>
        <w:t>בית משפט קמא ציין בפתח הדברים, כי הוא קבע את הסכום של 5,000 ₪ לשבוע כדמי שימוש ראויים ללא ביסוס שמאי וללא עריכת חשבון מדוקדק וכי קביעה זו "</w:t>
      </w:r>
      <w:r>
        <w:rPr>
          <w:rFonts w:ascii="David" w:hAnsi="David"/>
          <w:b/>
          <w:bCs/>
          <w:rtl/>
        </w:rPr>
        <w:t xml:space="preserve">היוותה סנקציה רצינית וקשה, מעבר </w:t>
      </w:r>
      <w:r>
        <w:rPr>
          <w:rFonts w:ascii="David" w:hAnsi="David"/>
          <w:b/>
          <w:bCs/>
          <w:rtl/>
        </w:rPr>
        <w:lastRenderedPageBreak/>
        <w:t>לשווי האמיתי של שכירות במקום.... פיצוי דרקוני כזה של הפחתת הפיצוי המגיע לכל משפחה</w:t>
      </w:r>
      <w:r>
        <w:rPr>
          <w:rFonts w:ascii="David" w:hAnsi="David"/>
          <w:rtl/>
        </w:rPr>
        <w:t>" מתוך כוונה "</w:t>
      </w:r>
      <w:r>
        <w:rPr>
          <w:rFonts w:ascii="David" w:hAnsi="David"/>
          <w:b/>
          <w:bCs/>
          <w:rtl/>
        </w:rPr>
        <w:t>לייצר משקל נגדי לגורמים שפעלו לפתות את תושבי השכונה להיאחז בקרקע בכל מחיר</w:t>
      </w:r>
      <w:r>
        <w:rPr>
          <w:rFonts w:ascii="David" w:hAnsi="David"/>
          <w:rtl/>
        </w:rPr>
        <w:t>". בית משפט קמא הוסיף, כי משהפינוי בוצע ו"</w:t>
      </w:r>
      <w:r>
        <w:rPr>
          <w:rFonts w:ascii="David" w:hAnsi="David"/>
          <w:b/>
          <w:bCs/>
          <w:rtl/>
        </w:rPr>
        <w:t>הכלי של הסנקציה</w:t>
      </w:r>
      <w:r>
        <w:rPr>
          <w:rFonts w:ascii="David" w:hAnsi="David"/>
          <w:rtl/>
        </w:rPr>
        <w:t>" השיג את מטרתו אזי כעת "</w:t>
      </w:r>
      <w:r>
        <w:rPr>
          <w:rFonts w:ascii="David" w:hAnsi="David"/>
          <w:b/>
          <w:bCs/>
          <w:rtl/>
        </w:rPr>
        <w:t>על בית המשפט לבטל סנקציה זו ולאפשר לתושבי השכונה ליהנות באופן מלא מהפיצוי המגיע להם, ללא ניכוי כלשהו</w:t>
      </w:r>
      <w:r>
        <w:rPr>
          <w:rFonts w:ascii="David" w:hAnsi="David"/>
          <w:rtl/>
        </w:rPr>
        <w:t xml:space="preserve">". נאמן 'לתחושתו' זו (עמ' 6 להחלטה) פנה בית משפט קמא למצוא את המקור הנורמטיבי, את "הסמכות" כלשונו, לבטל את הסנקציה שהטיל על המשיבים. בית משפט קמא מצא כי הוא מוסמך לעשות כן "לפנים משורת הדין" וזאת על פי העקרונות שהותוו במסורת עתיקת יומין של המשפט העברי אליהם ניתן לפנות מכוח חוק יסודות המשפט, תש"מ – 1980 (שם, עמ' 6 להחלטה). על בסיס פסיקה שלו (ת"א (ת"א) 51592/04 </w:t>
      </w:r>
      <w:r>
        <w:rPr>
          <w:rFonts w:ascii="David" w:hAnsi="David"/>
          <w:b/>
          <w:bCs/>
          <w:rtl/>
        </w:rPr>
        <w:t>בנק לאומי למשכנתאות נ' דוד</w:t>
      </w:r>
      <w:r>
        <w:rPr>
          <w:rFonts w:ascii="David" w:hAnsi="David"/>
          <w:rtl/>
        </w:rPr>
        <w:t xml:space="preserve"> ושל בית המשפט המחוזי (ע"א 3340/01 </w:t>
      </w:r>
      <w:r>
        <w:rPr>
          <w:rFonts w:ascii="David" w:hAnsi="David"/>
          <w:b/>
          <w:bCs/>
          <w:rtl/>
        </w:rPr>
        <w:t>בנק המזרחי נ' אפללו</w:t>
      </w:r>
      <w:r>
        <w:rPr>
          <w:rFonts w:ascii="David" w:hAnsi="David"/>
          <w:rtl/>
        </w:rPr>
        <w:t>) ומובאות מהמשפט העברי באשר לפסיקה לפנים משורת הדין קבע בית משפט קמא: "</w:t>
      </w:r>
      <w:r>
        <w:rPr>
          <w:rFonts w:ascii="David" w:hAnsi="David"/>
          <w:b/>
          <w:bCs/>
          <w:rtl/>
        </w:rPr>
        <w:t>מטרת הסנקציה, כאמור לעיל, הושגה כשהתפנו תושבי השכונה בדרכי שלום, לאחר עשרות שנות מאבקים משפטיים וחברתיים. כעת הזמן לנהוג כלפיהם לפנים משורת הדין, על סמך העקרונות שפרטנו לעיל</w:t>
      </w:r>
      <w:r>
        <w:rPr>
          <w:rFonts w:ascii="David" w:hAnsi="David"/>
          <w:rtl/>
        </w:rPr>
        <w:t>" והורה לנאמן להחזיר למשיבים את דמי השימוש המעוכבים אצלו.</w:t>
      </w:r>
    </w:p>
    <w:p w:rsidR="005C719B" w:rsidRDefault="005C719B" w:rsidP="005C719B">
      <w:pPr>
        <w:spacing w:before="240" w:after="240" w:line="360" w:lineRule="auto"/>
        <w:jc w:val="both"/>
        <w:rPr>
          <w:rFonts w:ascii="David" w:hAnsi="David"/>
          <w:rtl/>
        </w:rPr>
      </w:pPr>
      <w:r>
        <w:rPr>
          <w:rFonts w:ascii="David" w:hAnsi="David"/>
          <w:rtl/>
        </w:rPr>
        <w:t>בית משפט קמא ראה לציין כי לא מצא בדל ראייה לטענת המערערות בדבר נזקים שנגרמו להם בגין האיחור בפינוי או שחויבו בסכומי ריבית גבוהים על ידי הבנקים.</w:t>
      </w:r>
    </w:p>
    <w:p w:rsidR="005C719B" w:rsidRDefault="005C719B" w:rsidP="005C719B">
      <w:pPr>
        <w:spacing w:before="240" w:after="240" w:line="360" w:lineRule="auto"/>
        <w:jc w:val="both"/>
        <w:rPr>
          <w:rFonts w:ascii="David" w:hAnsi="David"/>
          <w:rtl/>
        </w:rPr>
      </w:pPr>
      <w:r>
        <w:rPr>
          <w:rFonts w:ascii="David" w:hAnsi="David"/>
          <w:rtl/>
        </w:rPr>
        <w:t>בהחלטה נוספת, מיום 30.9.22, שניתנה בבקשת הנאמן בקשר למשפחת בן נון (שהנאמן מחזיק גם את כספי דמי השימוש בגינה) ושלא הגישו התנגדות במסגרת ההליך בביהמ"ש קמא לבקשה למתן הוראות ומתנהל בעניינם הליך בביהמ"ש לענייני משפחה) קבע ביהמ"ש קמא שלגביהם יש להמתין לסיום ההליך בבית המשפט לענייני משפחה (כך שהכספים בינתיים יוותרו בידי הנאמן).</w:t>
      </w:r>
    </w:p>
    <w:p w:rsidR="005C719B" w:rsidRDefault="005C719B" w:rsidP="005C719B">
      <w:pPr>
        <w:spacing w:before="240" w:after="240" w:line="360" w:lineRule="auto"/>
        <w:jc w:val="both"/>
        <w:rPr>
          <w:rFonts w:ascii="David" w:hAnsi="David"/>
          <w:rtl/>
        </w:rPr>
      </w:pPr>
      <w:r>
        <w:rPr>
          <w:rFonts w:ascii="David" w:hAnsi="David"/>
          <w:rtl/>
        </w:rPr>
        <w:t>מכאן הערעור שלפנינו.</w:t>
      </w:r>
    </w:p>
    <w:p w:rsidR="005C719B" w:rsidRDefault="005C719B" w:rsidP="005C719B">
      <w:pPr>
        <w:spacing w:before="240" w:after="240" w:line="360" w:lineRule="auto"/>
        <w:jc w:val="both"/>
        <w:rPr>
          <w:rFonts w:ascii="David" w:hAnsi="David"/>
          <w:b/>
          <w:bCs/>
          <w:u w:val="single"/>
          <w:rtl/>
        </w:rPr>
      </w:pPr>
      <w:r>
        <w:rPr>
          <w:rFonts w:ascii="David" w:hAnsi="David"/>
          <w:b/>
          <w:bCs/>
          <w:u w:val="single"/>
          <w:rtl/>
        </w:rPr>
        <w:t>הערעור</w:t>
      </w:r>
    </w:p>
    <w:p w:rsidR="005C719B" w:rsidRDefault="005C719B" w:rsidP="005C719B">
      <w:pPr>
        <w:spacing w:before="240" w:after="240" w:line="360" w:lineRule="auto"/>
        <w:jc w:val="both"/>
        <w:rPr>
          <w:rFonts w:ascii="David" w:hAnsi="David"/>
          <w:rtl/>
        </w:rPr>
      </w:pPr>
      <w:r>
        <w:rPr>
          <w:rFonts w:ascii="David" w:hAnsi="David"/>
          <w:rtl/>
        </w:rPr>
        <w:t xml:space="preserve">לטענת המערערות ההחלטה ניתנה בחוסר סמכות וללא ביסוס משפטי ומהווה התערבות בהחלטה חלוטה שקבעה את דמי השימוש שלא היה מקום להתערב בה ; בימ"ש קמא שגה עובדתית עת קבע שתשלום של סך 5,000 ₪ לשבוע מהווה סנקציה רצינית וקשה מעבר לשווי האמיתי של שכירות במקום ; בניגוד לקביעתו העובדתית של בית משפט קמא פינוי תושבי השכונה לא בוצע באופן מסודר וללא אלימות כך שהכלי של הסנקציה, ככל שיש לראות את דמי השימוש ככלי כזה, לא השיג את מטרתו. המשיבים פונו רק לאחר שנפתחו נגדם תיקי הוצאה לפועל תוך שימוש בקבלני הוצאה לפועל, כוחות משטרה וכוחות מד"א לרבות בעלי מקצוע לניתוק תשתיות – ובאיחור של 29 שבועות ;  בית משפט קמא שגה עובדתית כשקבע כי לא מצא בדל ראייה לטענת המערערות כי בגין האיחור במסירת החזקה נגרמו להם נזקים או שחויבו בסכומי ריבית גבוהים ע"י הבנקים. מאות אלפי שקלים שולמו בגין פתיחת הליכי הוצאה לפועל והליכי ביצוע שננקטו במסגרתם לרבות תשלומים עבור משטרת </w:t>
      </w:r>
      <w:r>
        <w:rPr>
          <w:rFonts w:ascii="David" w:hAnsi="David"/>
          <w:rtl/>
        </w:rPr>
        <w:lastRenderedPageBreak/>
        <w:t xml:space="preserve">ישראל, חברות אבטחה, מובילים להובלת תכולת דירות, לבעלי מקצוע לצורך ניתוק תשתיות מים, חשמל ועוד ; משמשפחת בן נון לא מילאה אחר פסק הפינוי והפיצוי ולא פינתה את  החלק המוחזק על ידה במועד הקובע ומשבחרה שלא ליטול חלק בהליך המשפטי בו ניתנה ההחלטה מושא הערעור ההכרעה לגביה לא צריכה להיות שונה משל האחרים רק בשל סכסוך פנימי בין בני הזוג במשפחה שמתנהל בבית המשפט לענייני משפחה. </w:t>
      </w:r>
    </w:p>
    <w:p w:rsidR="005C719B" w:rsidRDefault="005C719B" w:rsidP="005C719B">
      <w:pPr>
        <w:spacing w:before="240" w:after="240" w:line="360" w:lineRule="auto"/>
        <w:jc w:val="both"/>
        <w:rPr>
          <w:rFonts w:ascii="David" w:hAnsi="David"/>
          <w:b/>
          <w:bCs/>
          <w:u w:val="single"/>
          <w:rtl/>
        </w:rPr>
      </w:pPr>
      <w:r>
        <w:rPr>
          <w:rFonts w:ascii="David" w:hAnsi="David"/>
          <w:b/>
          <w:bCs/>
          <w:u w:val="single"/>
          <w:rtl/>
        </w:rPr>
        <w:t xml:space="preserve">התשובות לערעור </w:t>
      </w: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 xml:space="preserve">לערעור הוגשו ארבע תשובות. </w:t>
      </w:r>
    </w:p>
    <w:p w:rsidR="005C719B" w:rsidRDefault="005C719B" w:rsidP="005C719B">
      <w:pPr>
        <w:pStyle w:val="ad"/>
        <w:spacing w:before="240" w:after="240" w:line="360" w:lineRule="auto"/>
        <w:ind w:left="84"/>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 xml:space="preserve">תשובה מטעם המשיבים 3-1, 5, 6 ; תשובה מטעם המשיבים 4 ; תשובה מטעם המשיבים 8 ; תשובה מטעם המשיבים 12-9. </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u w:val="single"/>
          <w:rtl/>
        </w:rPr>
      </w:pPr>
      <w:r>
        <w:rPr>
          <w:rFonts w:ascii="David" w:hAnsi="David" w:cs="David"/>
          <w:sz w:val="24"/>
          <w:szCs w:val="24"/>
          <w:u w:val="single"/>
          <w:rtl/>
        </w:rPr>
        <w:t xml:space="preserve">תשובת המשיבים 3-1, 5, 6 </w:t>
      </w:r>
    </w:p>
    <w:p w:rsidR="005C719B" w:rsidRDefault="005C719B" w:rsidP="00C07A8C">
      <w:pPr>
        <w:pStyle w:val="ad"/>
        <w:spacing w:before="240" w:after="240" w:line="360" w:lineRule="auto"/>
        <w:ind w:left="0"/>
        <w:jc w:val="both"/>
        <w:rPr>
          <w:rFonts w:ascii="David" w:hAnsi="David" w:cs="David"/>
          <w:sz w:val="24"/>
          <w:szCs w:val="24"/>
          <w:u w:val="single"/>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החלטת בית המשפט קמא ניתנה בסמכות. מקור הסמכות בפסק הדין בערעור ובפסק הדין בעליון (ס' 9-10 לתשובה כמו גם ס' 31-30 לתשובה); המערערות הן אלו שהפרו את פסק הפינוי והפיצוי באופן בוטה משהפקידו את כספי הפיצויים באיחור ולא בידי הנאמן אף בקשו באמצעות הנאמן לשנות מהוראותיו (ס' 16-11 לתשובה). הפרות אלה אמורות להביא לדחיית דרישתן של המערערות נוכח הקביעה בפסק הפינוי והפיצוי כי אם לא יופקדו הכספים במועד תידחה תביעתן (ס' 18-17 לתשובה). החל מאפריל 2020 חדלו המערערות להיות הבעלים של המקרקעין ודמי שימוש יכולים להיות משולמים רק לבעלים (ס' 26 לתשובה בו יש סיכום של הטענות שנטענו בקמא). בתוך כך תמכו משיבים אלה בקביעות בית משפט קמא באשר למהות דמי השימוש כסנקציה, באשר לפינוי המסודר וללא אלימות, באשר להעדר נזק שנגרם למערערות (ס' 43-36 לתשובה).</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u w:val="single"/>
          <w:rtl/>
        </w:rPr>
      </w:pPr>
      <w:r>
        <w:rPr>
          <w:rFonts w:ascii="David" w:hAnsi="David" w:cs="David"/>
          <w:sz w:val="24"/>
          <w:szCs w:val="24"/>
          <w:u w:val="single"/>
          <w:rtl/>
        </w:rPr>
        <w:t>תשובת המשיבים 4</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החלטת בית משפט קמא ניתנה בהתאם לסמכות ולשיקול הדעת שהוקנו לו בפסק הדין בערעור שאומץ בפסק הדין בעליון (ס' 32 – 23 לתשובה). המערערות מכרו את המקרקעין באפריל 2020 ולכן לא זכאיות לדמי שימוש (ס' 36-33 לתשובה). המערערות נמנעו מהגשת בקשה לחיוב המשיבים בדמי שימוש ראויים במשך חודשים רבים מה שמלמד כי הן כלל לא חפצות בתשלומם וכל מטרתן להתעמר בהם (ס' 40-37 לתשובה). לא הוכח כי נגרם נזק למערערות.</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u w:val="single"/>
          <w:rtl/>
        </w:rPr>
      </w:pPr>
      <w:r>
        <w:rPr>
          <w:rFonts w:ascii="David" w:hAnsi="David" w:cs="David"/>
          <w:sz w:val="24"/>
          <w:szCs w:val="24"/>
          <w:u w:val="single"/>
          <w:rtl/>
        </w:rPr>
        <w:t>תשובת המשיבים 8</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lastRenderedPageBreak/>
        <w:t>ההחלטה ניתנה בסמכות, סמכות שהוענקה לבית משפט קמא בפסק הדין בערעור ובפסק הדין בעליון (ס' 41-36 לתשובה). המערערות הפרו את פסק הפינוי והפיצוי משלא הפקידו בזמן את כספי הפיצויים  (ס' 42 לתשובה). המשיבים פינו את המקרקעין בהסכמה והמערערות השתהו בהגשת הבקשה לחיוב בדמי שימוש (ס' 49.1 ו – 49.6 לתשובה). לא הוכחו נזקים בגין איחור במסירה (ס' 53 לתשובה).</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u w:val="single"/>
          <w:rtl/>
        </w:rPr>
      </w:pPr>
      <w:r>
        <w:rPr>
          <w:rFonts w:ascii="David" w:hAnsi="David" w:cs="David"/>
          <w:sz w:val="24"/>
          <w:szCs w:val="24"/>
          <w:u w:val="single"/>
          <w:rtl/>
        </w:rPr>
        <w:t>תשובת המשיבים 12-9</w:t>
      </w:r>
    </w:p>
    <w:p w:rsidR="005C719B" w:rsidRDefault="005C719B" w:rsidP="00C07A8C">
      <w:pPr>
        <w:pStyle w:val="ad"/>
        <w:spacing w:before="240" w:after="240" w:line="360" w:lineRule="auto"/>
        <w:ind w:left="0"/>
        <w:jc w:val="both"/>
        <w:rPr>
          <w:rFonts w:ascii="David" w:hAnsi="David" w:cs="David"/>
          <w:b/>
          <w:bCs/>
          <w:sz w:val="24"/>
          <w:szCs w:val="24"/>
          <w:u w:val="single"/>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ההחלטה ניתנה בסמכות והמערערות לא זכאיות לתשלום דמי השימוש.</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b/>
          <w:bCs/>
          <w:sz w:val="24"/>
          <w:szCs w:val="24"/>
          <w:u w:val="single"/>
          <w:rtl/>
        </w:rPr>
      </w:pPr>
      <w:r>
        <w:rPr>
          <w:rFonts w:ascii="David" w:hAnsi="David" w:cs="David"/>
          <w:b/>
          <w:bCs/>
          <w:sz w:val="24"/>
          <w:szCs w:val="24"/>
          <w:u w:val="single"/>
          <w:rtl/>
        </w:rPr>
        <w:t>דיון והכרעה</w:t>
      </w: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 xml:space="preserve">הטענות של המשיבים בערעור, אותן פרטתי לעיל, נטענו, בחלקן הגדול אם לא כולן, בבית משפט קמא ובחלקן אף הוצגו בהחלטה עצמה (ראו עמ' 3 להחלטה). דא עקא שהן לא זכו להתייחסות בהחלטה ולא היוו את הבסיס לה. מנגד, אף לא אחד מהמשיבים מצא לתמוך את התוצאה במקור הנורמטיבי שבבסיס ההחלטה. </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משכך הם פני הדברים, משהמשיבים ניסו לתמוך בתוצאה של פסק הדין מטעמים אחרים, שונים מאלה של בית משפט קמא, העמדנו, לפני הצדדים, במהלך ישיבת הערעור, שלש אפשרויות – לבטל את פסק הדין ככל שהמסד הנורמטיבי מכוחו ניתן לא יכול לעמוד ; הערעור יתקבל ועניינם של הצדדים יחזור לבית משפט קמא על מנת שהוא, כערכאה דיונית (ולא אנו כערכאת ערעור), יידרש לטענות המשיבים שנטענו לפניו ובערעור ויוציא מלפניו החלטה שנשענת על הוראות הדין ולא על בסיס של לפנים משורת הדין ; להגיע לפשרה בדבר הסכום לתשלום.</w:t>
      </w: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 xml:space="preserve">בתום חילופי דברים בין הצדדים באשר להצעת בית המשפט התבקש פסק זמן להידברות. ההידברות לא צלחה ונתבקשנו לתת פסק דין בערעור. </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 xml:space="preserve">אפתח ואומר, כי לא מצאתי בפסק הדין מקור </w:t>
      </w:r>
      <w:r>
        <w:rPr>
          <w:rFonts w:ascii="David" w:hAnsi="David" w:cs="David"/>
          <w:b/>
          <w:bCs/>
          <w:sz w:val="24"/>
          <w:szCs w:val="24"/>
          <w:rtl/>
        </w:rPr>
        <w:t>חוקי</w:t>
      </w:r>
      <w:r>
        <w:rPr>
          <w:rFonts w:ascii="David" w:hAnsi="David" w:cs="David"/>
          <w:sz w:val="24"/>
          <w:szCs w:val="24"/>
          <w:rtl/>
        </w:rPr>
        <w:t xml:space="preserve"> או מקור </w:t>
      </w:r>
      <w:r>
        <w:rPr>
          <w:rFonts w:ascii="David" w:hAnsi="David" w:cs="David"/>
          <w:b/>
          <w:bCs/>
          <w:sz w:val="24"/>
          <w:szCs w:val="24"/>
          <w:rtl/>
        </w:rPr>
        <w:t>בפסיקה</w:t>
      </w:r>
      <w:r>
        <w:rPr>
          <w:rFonts w:ascii="David" w:hAnsi="David" w:cs="David"/>
          <w:sz w:val="24"/>
          <w:szCs w:val="24"/>
          <w:rtl/>
        </w:rPr>
        <w:t xml:space="preserve"> שמקנה לבית משפט סמכות לסטות מהחלטה קודמת שלו לגבי תשלום דמי שימוש ראויים ושיעורם. לא בכדי פנה בית משפט קמא ושאל, אחרי שקבע כי התשלום שקבע הוא בגדר סנקציה "</w:t>
      </w:r>
      <w:r>
        <w:rPr>
          <w:rFonts w:ascii="David" w:hAnsi="David" w:cs="David"/>
          <w:b/>
          <w:bCs/>
          <w:sz w:val="24"/>
          <w:szCs w:val="24"/>
          <w:rtl/>
        </w:rPr>
        <w:t>מאין יש לי סמכות ליתן החלטה שכזו? האם לבית משפט סמכות לבטל סנקציה שהטיל על בעל דין לפנים משורת הדין?</w:t>
      </w:r>
      <w:r>
        <w:rPr>
          <w:rFonts w:ascii="David" w:hAnsi="David" w:cs="David"/>
          <w:sz w:val="24"/>
          <w:szCs w:val="24"/>
          <w:rtl/>
        </w:rPr>
        <w:t xml:space="preserve">". את התשובה לשאלה מצא בית משפט קמא במשפט העברי. </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המשיבים מבקשים למצוא את הסמכות בפסק הדין שבערעור ובפסק הדין בעליון. המשיבים מפנים לס' 104 לפסק הדין בערעור בו נקבע, כי הזכות לפיצוי המוגדל כפופה לתשלום דמי שימוש ראויים "</w:t>
      </w:r>
      <w:r>
        <w:rPr>
          <w:rFonts w:ascii="David" w:hAnsi="David" w:cs="David"/>
          <w:b/>
          <w:bCs/>
          <w:sz w:val="24"/>
          <w:szCs w:val="24"/>
          <w:rtl/>
        </w:rPr>
        <w:t>הכל כפי שקבע ויקבע בית משפט קמא (כולל אם ימצא לנכון לשנות את הסכומים שקבע לאור פסק דיננו) ובהתאם להנחיותיו, הוראותיו ופיקוחו של בית משפט קמא אלו שכבר ניתנו ואלו שיינתנו בעתיד (לאחר פסק דיננו)</w:t>
      </w:r>
      <w:r>
        <w:rPr>
          <w:rFonts w:ascii="David" w:hAnsi="David" w:cs="David"/>
          <w:sz w:val="24"/>
          <w:szCs w:val="24"/>
          <w:rtl/>
        </w:rPr>
        <w:t xml:space="preserve">". המשיבים רואים בהוראה זו, שאושרה בפסק הדין בעליון, את המקור </w:t>
      </w:r>
      <w:r>
        <w:rPr>
          <w:rFonts w:ascii="David" w:hAnsi="David" w:cs="David"/>
          <w:sz w:val="24"/>
          <w:szCs w:val="24"/>
          <w:rtl/>
        </w:rPr>
        <w:lastRenderedPageBreak/>
        <w:t>לסמכות. דא עקא שבית משפט קמא לא ראה לנכון למצוא את סמכותו בהוראה זו. המשיבים אף טוענים שגם המערערות רואות בהוראה זו את מקור הסמכות אם כי מכוונות הן לפרשנות אחרת באשר לשימוש בה ולתוצאה שתבוא בעקבותיה. בהקשר זה הם מפנים  לדברי ב"כ המערערות בפרוט' הדיון בבית משפט קמא עמ' 53 ש' 28 עד עמ' 54 ש' 6.</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אין בכוונתי להביע דעה באשר לטענות המשיבים בדבר מקור הסמכות ו/או להביע דעה באשר לפרשנות הדברים.  הערכאה הדיונית, בית משפט קמא, הייתה צריכה להידרש לטענות אלה.</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משכך, ועל מנת לתת למשיבים את יומם בבית המשפט, בכל הנוגע לטענות שנטענו על ידם ולא נבחנו בבית משפט קמא, אין מנוס מקבלת הערעור והשבת עניינם של הצדדים לבית משפט קמא על מנת שיוציא מלפניו החלטה חדשה על בסיס הדין תוך התייחסות למקור הסמכות הנטען ופרשנותו.</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pStyle w:val="ad"/>
        <w:spacing w:before="240" w:after="240" w:line="360" w:lineRule="auto"/>
        <w:ind w:left="0"/>
        <w:jc w:val="both"/>
        <w:rPr>
          <w:rFonts w:ascii="David" w:hAnsi="David" w:cs="David"/>
          <w:sz w:val="24"/>
          <w:szCs w:val="24"/>
          <w:rtl/>
        </w:rPr>
      </w:pPr>
      <w:r>
        <w:rPr>
          <w:rFonts w:ascii="David" w:hAnsi="David" w:cs="David"/>
          <w:sz w:val="24"/>
          <w:szCs w:val="24"/>
          <w:rtl/>
        </w:rPr>
        <w:t>עם זאת, אני כן רואה לנכון להידרש לקביעת בית משפט קמא ולא בהיבט העובדתי - כי פינוי התושבים בוצע באופן מסודר, ללא אלימות וכי הכלי של הסנקציה השיג את מטרתו ולכן ניתן לבטלה כמו גם לקביעה כי לא מצא בדל ראיה לטענת המערערות כי בגין איחור בפינוי נגרמו להן נזקים.</w:t>
      </w:r>
    </w:p>
    <w:p w:rsidR="005C719B" w:rsidRDefault="005C719B" w:rsidP="00C07A8C">
      <w:pPr>
        <w:pStyle w:val="ad"/>
        <w:spacing w:before="240" w:after="240" w:line="360" w:lineRule="auto"/>
        <w:ind w:left="0"/>
        <w:jc w:val="both"/>
        <w:rPr>
          <w:rFonts w:ascii="David" w:hAnsi="David" w:cs="David"/>
          <w:sz w:val="24"/>
          <w:szCs w:val="24"/>
          <w:rtl/>
        </w:rPr>
      </w:pPr>
    </w:p>
    <w:p w:rsidR="005C719B" w:rsidRDefault="005C719B" w:rsidP="00C07A8C">
      <w:pPr>
        <w:spacing w:before="240" w:after="240" w:line="360" w:lineRule="auto"/>
        <w:jc w:val="both"/>
        <w:rPr>
          <w:rFonts w:ascii="David" w:hAnsi="David"/>
          <w:rtl/>
        </w:rPr>
      </w:pPr>
      <w:r>
        <w:rPr>
          <w:rFonts w:ascii="David" w:hAnsi="David"/>
          <w:rtl/>
        </w:rPr>
        <w:t xml:space="preserve">בניגוד לבית משפט קמא יש להבהיר באופן ברור ושאינו משתמע לשני פנים – המשיבים הפרו את החוק עת לא התפנו ומסרו את החזקה במועד שנקבע בפסק הפינוי והפיצוי. העובדה שאף אחד מהמשיבים לא הפעיל אלימות כלפי גורמי האכיפה, כשלעצמה, לא מהווה נימוק לפטור אותו מתשלום דמי שימוש ראויים גם אם היא בגדר סנקציה. החיוב בתשלום דמי השימוש הראויים נקבע במישור האזרחי בין בעלים של מקרקעין למי שביהמ"ש הורה להם לפנות את המקרקעין ולא פינו במועד. האיום מבחינת המערערים התממש כשהמשיבים נותרו במקום ולשם כך נקבעה הסנקציה. זה לא איום שהוסר רק משום שלא הופעלה אלימות. בה במידה - אחרי שהמערערות מחזיקות בפסק דין חלוט של פינוי שקובע את הסנקציה ושיעורה המדויק הן לא מחויבות או צריכות להביא ראיות לגבי הנזק שנגרם להן בפרט בנסיבות בהן הוא עצמו החליט לבטל את פסיקתו שלו "לפנים משורת הדין". </w:t>
      </w:r>
    </w:p>
    <w:p w:rsidR="005C719B" w:rsidRDefault="005C719B" w:rsidP="00C07A8C">
      <w:pPr>
        <w:spacing w:before="240" w:after="240" w:line="360" w:lineRule="auto"/>
        <w:jc w:val="both"/>
        <w:rPr>
          <w:rFonts w:ascii="David" w:hAnsi="David"/>
          <w:rtl/>
        </w:rPr>
      </w:pPr>
      <w:r>
        <w:rPr>
          <w:rFonts w:ascii="David" w:hAnsi="David"/>
          <w:rtl/>
        </w:rPr>
        <w:t>אשר למשפחת בן נון – ברי שהתוצאה שתתקבל בסופו של יום תחול גם עליה.</w:t>
      </w:r>
    </w:p>
    <w:p w:rsidR="005C719B" w:rsidRDefault="005C719B" w:rsidP="00C07A8C">
      <w:pPr>
        <w:spacing w:before="240" w:after="240" w:line="360" w:lineRule="auto"/>
        <w:jc w:val="both"/>
        <w:rPr>
          <w:rFonts w:ascii="David" w:hAnsi="David"/>
          <w:rtl/>
        </w:rPr>
      </w:pPr>
      <w:r>
        <w:rPr>
          <w:rFonts w:ascii="David" w:hAnsi="David"/>
          <w:rtl/>
        </w:rPr>
        <w:t>משכך, ועל מנת לתת למשיבים את יומם בבית המשפט, בכל הנוגע לטענות שנטענו על ידם ולא נבחנו בבית משפט קמא, אמליץ לחבריי להרכב לקבל את הערעור ולהשיב את עניינם של הצדדים לבית משפט קמא על מנת שיוציא מלפניו החלטה חדשה על בסיס הדין תוך התייחסות למקור הסמכות הנטען ופרשנותו.</w:t>
      </w:r>
    </w:p>
    <w:p w:rsidR="005C719B" w:rsidRDefault="001B4376" w:rsidP="00C07A8C">
      <w:pPr>
        <w:spacing w:before="240" w:after="240" w:line="360" w:lineRule="auto"/>
        <w:jc w:val="both"/>
        <w:rPr>
          <w:rFonts w:ascii="David" w:hAnsi="David"/>
          <w:rtl/>
        </w:rPr>
      </w:pPr>
      <w:r>
        <w:rPr>
          <w:rFonts w:ascii="David" w:hAnsi="David"/>
          <w:rtl/>
        </w:rPr>
        <w:t>בנסיבות העניין</w:t>
      </w:r>
      <w:r>
        <w:rPr>
          <w:rFonts w:ascii="David" w:hAnsi="David" w:hint="cs"/>
          <w:rtl/>
        </w:rPr>
        <w:t xml:space="preserve">, </w:t>
      </w:r>
      <w:r w:rsidR="005C719B">
        <w:rPr>
          <w:rFonts w:ascii="David" w:hAnsi="David"/>
          <w:rtl/>
        </w:rPr>
        <w:t>משטענות המשיבים לא זכו להתייחסות אמליץ לחבריי להרכב שלא לעשות צו להוצאות.</w:t>
      </w:r>
    </w:p>
    <w:p w:rsidR="004B356B" w:rsidRDefault="004B356B" w:rsidP="004B356B"/>
    <w:p w:rsidR="004B356B" w:rsidRDefault="004B356B" w:rsidP="004B356B">
      <w:pPr>
        <w:rPr>
          <w:rtl/>
        </w:rPr>
      </w:pPr>
    </w:p>
    <w:tbl>
      <w:tblPr>
        <w:bidiVisual/>
        <w:tblW w:w="0" w:type="auto"/>
        <w:tblInd w:w="4932" w:type="dxa"/>
        <w:tblCellMar>
          <w:left w:w="0" w:type="dxa"/>
          <w:right w:w="0" w:type="dxa"/>
        </w:tblCellMar>
        <w:tblLook w:val="04A0" w:firstRow="1" w:lastRow="0" w:firstColumn="1" w:lastColumn="0" w:noHBand="0" w:noVBand="1"/>
      </w:tblPr>
      <w:tblGrid>
        <w:gridCol w:w="2916"/>
      </w:tblGrid>
      <w:tr w:rsidR="004B356B" w:rsidTr="004B356B">
        <w:tc>
          <w:tcPr>
            <w:tcW w:w="2916" w:type="dxa"/>
            <w:tcBorders>
              <w:top w:val="nil"/>
              <w:left w:val="nil"/>
              <w:bottom w:val="single" w:sz="8" w:space="0" w:color="auto"/>
              <w:right w:val="nil"/>
            </w:tcBorders>
            <w:tcMar>
              <w:top w:w="0" w:type="dxa"/>
              <w:left w:w="108" w:type="dxa"/>
              <w:bottom w:w="0" w:type="dxa"/>
              <w:right w:w="108" w:type="dxa"/>
            </w:tcMar>
            <w:vAlign w:val="center"/>
            <w:hideMark/>
          </w:tcPr>
          <w:p w:rsidR="004B356B" w:rsidRDefault="004B356B">
            <w:pPr>
              <w:spacing w:line="256" w:lineRule="auto"/>
              <w:ind w:left="360"/>
              <w:jc w:val="center"/>
              <w:rPr>
                <w:rFonts w:ascii="David" w:hAnsi="David"/>
                <w:b/>
                <w:bCs/>
                <w:rtl/>
              </w:rPr>
            </w:pPr>
            <w:r>
              <w:rPr>
                <w:rFonts w:ascii="David" w:hAnsi="David"/>
              </w:rPr>
              <w:drawing>
                <wp:inline distT="0" distB="0" distL="0" distR="0">
                  <wp:extent cx="1484630" cy="748030"/>
                  <wp:effectExtent l="0" t="0" r="1270" b="0"/>
                  <wp:docPr id="7" name="תמונה 7" descr="cid:image002.gif@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2.gif@01D5D9AF.3D52D30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484630" cy="748030"/>
                          </a:xfrm>
                          <a:prstGeom prst="rect">
                            <a:avLst/>
                          </a:prstGeom>
                          <a:noFill/>
                          <a:ln>
                            <a:noFill/>
                          </a:ln>
                        </pic:spPr>
                      </pic:pic>
                    </a:graphicData>
                  </a:graphic>
                </wp:inline>
              </w:drawing>
            </w:r>
          </w:p>
        </w:tc>
      </w:tr>
      <w:tr w:rsidR="004B356B" w:rsidTr="004B356B">
        <w:tc>
          <w:tcPr>
            <w:tcW w:w="2916" w:type="dxa"/>
            <w:tcMar>
              <w:top w:w="0" w:type="dxa"/>
              <w:left w:w="108" w:type="dxa"/>
              <w:bottom w:w="0" w:type="dxa"/>
              <w:right w:w="108" w:type="dxa"/>
            </w:tcMar>
            <w:hideMark/>
          </w:tcPr>
          <w:p w:rsidR="004B356B" w:rsidRDefault="004B356B">
            <w:pPr>
              <w:spacing w:line="256" w:lineRule="auto"/>
              <w:ind w:left="360"/>
              <w:jc w:val="center"/>
              <w:rPr>
                <w:rFonts w:ascii="David" w:hAnsi="David"/>
                <w:b/>
                <w:bCs/>
                <w:sz w:val="26"/>
                <w:szCs w:val="26"/>
              </w:rPr>
            </w:pPr>
            <w:r>
              <w:rPr>
                <w:rFonts w:ascii="David" w:hAnsi="David"/>
                <w:b/>
                <w:bCs/>
                <w:sz w:val="26"/>
                <w:szCs w:val="26"/>
                <w:rtl/>
              </w:rPr>
              <w:t>שאול שוחט, שופט</w:t>
            </w:r>
          </w:p>
          <w:p w:rsidR="004B356B" w:rsidRDefault="004B356B">
            <w:pPr>
              <w:spacing w:line="256" w:lineRule="auto"/>
              <w:ind w:left="360"/>
              <w:jc w:val="center"/>
              <w:rPr>
                <w:rFonts w:ascii="David" w:hAnsi="David"/>
                <w:b/>
                <w:bCs/>
              </w:rPr>
            </w:pPr>
            <w:r>
              <w:rPr>
                <w:rFonts w:ascii="David" w:hAnsi="David"/>
                <w:b/>
                <w:bCs/>
                <w:sz w:val="26"/>
                <w:szCs w:val="26"/>
                <w:rtl/>
              </w:rPr>
              <w:t>סג"נ-אב"ד</w:t>
            </w:r>
            <w:r>
              <w:rPr>
                <w:rFonts w:ascii="David" w:hAnsi="David"/>
                <w:b/>
                <w:bCs/>
                <w:rtl/>
              </w:rPr>
              <w:t xml:space="preserve"> </w:t>
            </w:r>
          </w:p>
        </w:tc>
      </w:tr>
    </w:tbl>
    <w:p w:rsidR="004B356B" w:rsidRDefault="004B356B" w:rsidP="004B356B">
      <w:pPr>
        <w:rPr>
          <w:rFonts w:ascii="David" w:eastAsiaTheme="minorHAnsi" w:hAnsi="David"/>
          <w:rtl/>
        </w:rPr>
      </w:pPr>
    </w:p>
    <w:p w:rsidR="005C719B" w:rsidRDefault="005C719B" w:rsidP="005C719B">
      <w:pPr>
        <w:spacing w:line="360" w:lineRule="auto"/>
        <w:jc w:val="both"/>
        <w:rPr>
          <w:rFonts w:ascii="David" w:hAnsi="David"/>
          <w:rtl/>
        </w:rPr>
      </w:pPr>
      <w:r>
        <w:rPr>
          <w:rFonts w:ascii="David" w:hAnsi="David"/>
          <w:b/>
          <w:bCs/>
          <w:u w:val="single"/>
          <w:rtl/>
        </w:rPr>
        <w:t>השופט נפתלי שילה</w:t>
      </w:r>
      <w:r>
        <w:rPr>
          <w:rFonts w:ascii="David" w:hAnsi="David"/>
          <w:rtl/>
        </w:rPr>
        <w:t>:</w:t>
      </w:r>
    </w:p>
    <w:p w:rsidR="005C719B" w:rsidRDefault="005C719B" w:rsidP="005C719B">
      <w:pPr>
        <w:spacing w:line="360" w:lineRule="auto"/>
        <w:jc w:val="both"/>
        <w:rPr>
          <w:rFonts w:ascii="David" w:hAnsi="David"/>
          <w:rtl/>
        </w:rPr>
      </w:pPr>
    </w:p>
    <w:p w:rsidR="005C719B" w:rsidRDefault="005C719B" w:rsidP="005C719B">
      <w:pPr>
        <w:spacing w:after="240" w:line="360" w:lineRule="auto"/>
        <w:jc w:val="both"/>
        <w:rPr>
          <w:rFonts w:ascii="David" w:hAnsi="David"/>
          <w:rtl/>
        </w:rPr>
      </w:pPr>
      <w:r>
        <w:rPr>
          <w:rFonts w:ascii="David" w:hAnsi="David"/>
          <w:rtl/>
        </w:rPr>
        <w:t>בית המשפט קמא קבע כי: "הלכה שבמקורה נתפסה במשפט העברי בגדר "לפנים משורת הדין", ניתן יהיה – במקרים ראויים – ליישמה בדין הנוהג במסגרת שורת הדין, בפסיקתם של בתי המשפט".</w:t>
      </w:r>
    </w:p>
    <w:p w:rsidR="005C719B" w:rsidRDefault="005C719B" w:rsidP="005C719B">
      <w:pPr>
        <w:spacing w:after="240" w:line="360" w:lineRule="auto"/>
        <w:jc w:val="both"/>
        <w:rPr>
          <w:rFonts w:ascii="David" w:hAnsi="David"/>
          <w:rtl/>
        </w:rPr>
      </w:pPr>
      <w:r>
        <w:rPr>
          <w:rFonts w:ascii="David" w:hAnsi="David"/>
          <w:rtl/>
        </w:rPr>
        <w:t xml:space="preserve">דעתי שונה. הפסיקה שבה וחזרה על עיקרון היסוד לפיו על שופט לפסוק על פי הדין ואין הוא רשאי לשנות מן הדין, ולכפות על בעל דין לפעול לפנים משורת הדין. </w:t>
      </w:r>
    </w:p>
    <w:p w:rsidR="005C719B" w:rsidRDefault="005C719B" w:rsidP="005C719B">
      <w:pPr>
        <w:spacing w:after="240" w:line="360" w:lineRule="auto"/>
        <w:jc w:val="both"/>
        <w:rPr>
          <w:rFonts w:ascii="David" w:hAnsi="David"/>
          <w:rtl/>
        </w:rPr>
      </w:pPr>
      <w:r>
        <w:rPr>
          <w:rFonts w:ascii="David" w:hAnsi="David"/>
          <w:rtl/>
        </w:rPr>
        <w:t xml:space="preserve">כפי  שציין כב' השופט אלון בע"א 350/77 </w:t>
      </w:r>
      <w:r>
        <w:rPr>
          <w:rFonts w:ascii="David" w:hAnsi="David"/>
          <w:b/>
          <w:bCs/>
          <w:rtl/>
        </w:rPr>
        <w:t>כיתן בע"מ נ' שרה וייס ואח'</w:t>
      </w:r>
      <w:r>
        <w:rPr>
          <w:rFonts w:ascii="David" w:hAnsi="David"/>
          <w:rtl/>
        </w:rPr>
        <w:t>, פ"ד לג(2)785 בעמ' 810:</w:t>
      </w:r>
    </w:p>
    <w:p w:rsidR="005C719B" w:rsidRDefault="005C719B" w:rsidP="005C719B">
      <w:pPr>
        <w:spacing w:after="240" w:line="360" w:lineRule="auto"/>
        <w:jc w:val="both"/>
        <w:rPr>
          <w:rFonts w:ascii="David" w:hAnsi="David"/>
          <w:rtl/>
        </w:rPr>
      </w:pPr>
      <w:r>
        <w:rPr>
          <w:rFonts w:ascii="David" w:hAnsi="David"/>
          <w:rtl/>
        </w:rPr>
        <w:t>"</w:t>
      </w:r>
      <w:r>
        <w:rPr>
          <w:rFonts w:ascii="David" w:hAnsi="David"/>
          <w:b/>
          <w:bCs/>
          <w:rtl/>
        </w:rPr>
        <w:t>במערכת משפטנו אין כופין על האדם לנהוג לפנים משורת הדין, והדבר מסור ליוזמתו ולרצונו של בעל הדין</w:t>
      </w:r>
      <w:r>
        <w:rPr>
          <w:rFonts w:ascii="David" w:hAnsi="David"/>
          <w:rtl/>
        </w:rPr>
        <w:t>".</w:t>
      </w:r>
    </w:p>
    <w:p w:rsidR="005C719B" w:rsidRDefault="005C719B" w:rsidP="005C719B">
      <w:pPr>
        <w:spacing w:after="240" w:line="360" w:lineRule="auto"/>
        <w:jc w:val="both"/>
        <w:rPr>
          <w:rFonts w:ascii="David" w:hAnsi="David"/>
          <w:rtl/>
        </w:rPr>
      </w:pPr>
      <w:r>
        <w:rPr>
          <w:rFonts w:ascii="David" w:hAnsi="David"/>
          <w:rtl/>
        </w:rPr>
        <w:t>כב' השופט שמגר ציין בפסה"ד הנ"ל, שהוא מסתייג מעמדת השופט אלון לפיה בית המשפט רשאי להמליץ או להביע משאלה שבעל דין יפעל לפנים משורת הדין מאחר ש:</w:t>
      </w:r>
    </w:p>
    <w:p w:rsidR="005C719B" w:rsidRDefault="005C719B" w:rsidP="005C719B">
      <w:pPr>
        <w:spacing w:after="120" w:line="360" w:lineRule="auto"/>
        <w:jc w:val="both"/>
        <w:rPr>
          <w:rFonts w:ascii="David" w:hAnsi="David"/>
          <w:rtl/>
        </w:rPr>
      </w:pPr>
      <w:r>
        <w:rPr>
          <w:rFonts w:ascii="David" w:hAnsi="David"/>
          <w:rtl/>
        </w:rPr>
        <w:t>"</w:t>
      </w:r>
      <w:r>
        <w:rPr>
          <w:rFonts w:ascii="David" w:hAnsi="David"/>
          <w:b/>
          <w:bCs/>
          <w:rtl/>
        </w:rPr>
        <w:t>מערכת משפט הזונחת - כשיטה - את התחומים שהותוו בדין המהותי ומוסיפה, כנדבך חלופי נוסף וכשיטה, את ההמלצה על מתן פיצויים לפנים משורת הדין, פועלת בהכרח על-פי אמות המידה הערטילאיות, ואם נדייק - גם המקריות - של השופט היושב על מדין בתיק מזדמן, ומביאה במשך הזמן לטשטושו של הדין ולפגיעה בזכויות הצדדים. בשל היעדר אמות מידה ברורות עלול הדבר להביא לא אחת, למעשה, גם לתוצאה שהיא בגדר איפה ואיפה. המלצה לבר-משפטית אשר לפי עצם טיבה יכולה לשמש בנסיבות יוצאות דופן בלבד, אין להפכה בשיטה כשלנו לכלל מנחה, כי הדבר נוגד מהותה</w:t>
      </w:r>
      <w:r>
        <w:rPr>
          <w:rFonts w:ascii="David" w:hAnsi="David"/>
          <w:rtl/>
        </w:rPr>
        <w:t xml:space="preserve">". </w:t>
      </w:r>
    </w:p>
    <w:p w:rsidR="005C719B" w:rsidRDefault="005C719B" w:rsidP="005C719B">
      <w:pPr>
        <w:spacing w:after="120" w:line="360" w:lineRule="auto"/>
        <w:jc w:val="both"/>
        <w:rPr>
          <w:rFonts w:ascii="David" w:hAnsi="David"/>
          <w:rtl/>
        </w:rPr>
      </w:pPr>
      <w:r>
        <w:rPr>
          <w:rFonts w:ascii="David" w:hAnsi="David"/>
          <w:rtl/>
        </w:rPr>
        <w:t xml:space="preserve">כפי שציין בית המשפט קמא, קיימת מחלוקת פוסקים במשפט העברי האם ניתן לכפות על אדם לנהוג לפנים משורת הדין. רבי יוסף קארו </w:t>
      </w:r>
      <w:r>
        <w:rPr>
          <w:rFonts w:ascii="David" w:hAnsi="David"/>
          <w:b/>
          <w:bCs/>
          <w:rtl/>
        </w:rPr>
        <w:t>בבית יוסף</w:t>
      </w:r>
      <w:r>
        <w:rPr>
          <w:rFonts w:ascii="David" w:hAnsi="David"/>
          <w:rtl/>
        </w:rPr>
        <w:t xml:space="preserve"> חו"מ </w:t>
      </w:r>
      <w:r>
        <w:rPr>
          <w:rFonts w:ascii="David" w:hAnsi="David"/>
          <w:b/>
          <w:bCs/>
          <w:rtl/>
        </w:rPr>
        <w:t>הלכות דיינים</w:t>
      </w:r>
      <w:r>
        <w:rPr>
          <w:rFonts w:ascii="David" w:hAnsi="David"/>
          <w:rtl/>
        </w:rPr>
        <w:t>, סעיף יב' ס"ק ח' פוסק כי: "</w:t>
      </w:r>
      <w:r>
        <w:rPr>
          <w:rFonts w:ascii="David" w:hAnsi="David"/>
          <w:b/>
          <w:bCs/>
          <w:rtl/>
        </w:rPr>
        <w:t>כתב רבינו ירוחם בשם הראש שאין כופין על לפנים משורת הדין ופשוט הוא בעיני</w:t>
      </w:r>
      <w:r>
        <w:rPr>
          <w:rFonts w:ascii="David" w:hAnsi="David"/>
          <w:rtl/>
        </w:rPr>
        <w:t>".</w:t>
      </w:r>
    </w:p>
    <w:p w:rsidR="005C719B" w:rsidRDefault="005C719B" w:rsidP="005C719B">
      <w:pPr>
        <w:spacing w:after="120" w:line="360" w:lineRule="auto"/>
        <w:jc w:val="both"/>
        <w:rPr>
          <w:rFonts w:ascii="David" w:hAnsi="David"/>
          <w:rtl/>
        </w:rPr>
      </w:pPr>
      <w:r>
        <w:rPr>
          <w:rFonts w:ascii="David" w:hAnsi="David"/>
          <w:rtl/>
        </w:rPr>
        <w:t xml:space="preserve">רבי משה איסרליש (הרמ"א) </w:t>
      </w:r>
      <w:r>
        <w:rPr>
          <w:rFonts w:ascii="David" w:hAnsi="David"/>
          <w:b/>
          <w:bCs/>
          <w:rtl/>
        </w:rPr>
        <w:t>בהלכות דיינים</w:t>
      </w:r>
      <w:r>
        <w:rPr>
          <w:rFonts w:ascii="David" w:hAnsi="David"/>
          <w:rtl/>
        </w:rPr>
        <w:t xml:space="preserve"> סימן יב' סעיף ב' פוסק כי: "</w:t>
      </w:r>
      <w:r>
        <w:rPr>
          <w:rFonts w:ascii="David" w:hAnsi="David"/>
          <w:b/>
          <w:bCs/>
          <w:rtl/>
        </w:rPr>
        <w:t>ואין בית דין יכולין לכוף להיכנס לפנים משורת הדין אע"פ שנראה להם שהוא מן הראוי (בית יוסף בשם ר"י ובשם הראש) ויש חולקים (מרדכי פ"ב דמציעא</w:t>
      </w:r>
      <w:r>
        <w:rPr>
          <w:rFonts w:ascii="David" w:hAnsi="David"/>
          <w:rtl/>
        </w:rPr>
        <w:t>)".</w:t>
      </w:r>
    </w:p>
    <w:p w:rsidR="005C719B" w:rsidRDefault="005C719B" w:rsidP="005C719B">
      <w:pPr>
        <w:spacing w:after="120" w:line="360" w:lineRule="auto"/>
        <w:jc w:val="both"/>
        <w:rPr>
          <w:rFonts w:ascii="David" w:hAnsi="David"/>
          <w:rtl/>
        </w:rPr>
      </w:pPr>
      <w:r>
        <w:rPr>
          <w:rFonts w:ascii="David" w:hAnsi="David"/>
          <w:rtl/>
        </w:rPr>
        <w:lastRenderedPageBreak/>
        <w:t xml:space="preserve">לעניין  מחלוקת זו ועמדת פוסקים נוספים ראו: השופט (בדימוס) רפאל יעקובי, </w:t>
      </w:r>
      <w:r>
        <w:rPr>
          <w:rFonts w:ascii="David" w:hAnsi="David"/>
          <w:b/>
          <w:bCs/>
          <w:rtl/>
        </w:rPr>
        <w:t>שורת הדין ולפנים משורת הדין</w:t>
      </w:r>
      <w:r>
        <w:rPr>
          <w:rFonts w:ascii="David" w:hAnsi="David"/>
          <w:rtl/>
        </w:rPr>
        <w:t>, גיליון פרשת ואתחנן תשס"ה מס' 218 בהוצאת המחלקה למשפט עברי במשרד המשפטים; פרופ' רון קליינמן, "</w:t>
      </w:r>
      <w:r>
        <w:rPr>
          <w:rFonts w:ascii="David" w:hAnsi="David"/>
          <w:b/>
          <w:bCs/>
          <w:rtl/>
        </w:rPr>
        <w:t>כפיית נורמות של "לפנים משורת הדין" על גופים ציבוריים</w:t>
      </w:r>
      <w:r>
        <w:rPr>
          <w:rFonts w:ascii="David" w:hAnsi="David"/>
          <w:rtl/>
        </w:rPr>
        <w:t>", ספר שמגר (תשס"ג) עמ' 469; ד"ר מיכאל ויגודה, "</w:t>
      </w:r>
      <w:r>
        <w:rPr>
          <w:rFonts w:ascii="David" w:hAnsi="David"/>
          <w:b/>
          <w:bCs/>
          <w:rtl/>
        </w:rPr>
        <w:t>ודל לא תהדר בריבו</w:t>
      </w:r>
      <w:r>
        <w:rPr>
          <w:rFonts w:ascii="David" w:hAnsi="David"/>
          <w:rtl/>
        </w:rPr>
        <w:t xml:space="preserve">", גיליון פרשת משפטים תשס"ב מס' 62, בהוצאת המחלקה למשפט עברי במשרד המשפטים.    </w:t>
      </w:r>
    </w:p>
    <w:p w:rsidR="005C719B" w:rsidRDefault="005C719B" w:rsidP="005C719B">
      <w:pPr>
        <w:spacing w:after="120" w:line="360" w:lineRule="auto"/>
        <w:jc w:val="both"/>
        <w:rPr>
          <w:rFonts w:ascii="David" w:hAnsi="David"/>
          <w:rtl/>
        </w:rPr>
      </w:pPr>
      <w:r>
        <w:rPr>
          <w:rFonts w:ascii="David" w:hAnsi="David"/>
          <w:rtl/>
        </w:rPr>
        <w:t xml:space="preserve">מן הראוי להביא את דברי כב' השופטת חיות (כתוארה אז) בבג"ץ 681/12 </w:t>
      </w:r>
      <w:r>
        <w:rPr>
          <w:rFonts w:ascii="David" w:hAnsi="David"/>
          <w:b/>
          <w:bCs/>
          <w:rtl/>
        </w:rPr>
        <w:t>שחר מרים גרינשפן נ' היועץ המשפטי לממשלה</w:t>
      </w:r>
      <w:r>
        <w:rPr>
          <w:rFonts w:ascii="David" w:hAnsi="David"/>
          <w:rtl/>
        </w:rPr>
        <w:t xml:space="preserve"> (19.9.12):</w:t>
      </w:r>
    </w:p>
    <w:p w:rsidR="005C719B" w:rsidRDefault="005C719B" w:rsidP="005C719B">
      <w:pPr>
        <w:pStyle w:val="Ruller40"/>
        <w:rPr>
          <w:rFonts w:ascii="David" w:hAnsi="David" w:cs="David"/>
          <w:b/>
          <w:bCs/>
          <w:spacing w:val="0"/>
          <w:sz w:val="24"/>
          <w:szCs w:val="24"/>
          <w:rtl/>
        </w:rPr>
      </w:pPr>
      <w:r>
        <w:rPr>
          <w:rFonts w:ascii="David" w:hAnsi="David" w:cs="David"/>
          <w:spacing w:val="0"/>
          <w:sz w:val="24"/>
          <w:szCs w:val="24"/>
          <w:rtl/>
        </w:rPr>
        <w:t>"</w:t>
      </w:r>
      <w:r>
        <w:rPr>
          <w:rFonts w:ascii="David" w:hAnsi="David" w:cs="David"/>
          <w:b/>
          <w:bCs/>
          <w:spacing w:val="0"/>
          <w:sz w:val="24"/>
          <w:szCs w:val="24"/>
          <w:rtl/>
        </w:rPr>
        <w:t>דומה כי אין מי שבמהלך שנות כהונתו כשופט לא התמודד עם מקרה קשה אשר בו למרות האהדה הרבה שעוררו אצלו טיעוני בעל הדין, לא נמצא לו נתיב בדין אשר יאפשר את מתן הסעד שנתבקש... קוצר ידו של המשפט המתגלה במקרים כגון אלה, יש בו לעיתים כדי למלא את השופט היושב בדין תחושת תסכול. אך עלינו לזכור כי קוצר ידו של המשפט הוא גם קוצר ידו של השופט וכי פריצת גדרי החוק והכללים המשפטיים שעליהם אנו אמונים יש לה מחיר. עמד על כך השופט י' זמיר באחד המקרים הקשים במיוחד שבאו בשערי בית משפט זה בדנ"א 2401/95 נחמני נ' נחמני, פ"ד נ(4) 661 (1996) באומרו:</w:t>
      </w:r>
    </w:p>
    <w:p w:rsidR="005C719B" w:rsidRDefault="005C719B" w:rsidP="005C719B">
      <w:pPr>
        <w:pStyle w:val="Ruller40"/>
        <w:rPr>
          <w:rFonts w:ascii="David" w:hAnsi="David" w:cs="David"/>
          <w:b/>
          <w:bCs/>
          <w:spacing w:val="0"/>
          <w:sz w:val="24"/>
          <w:szCs w:val="24"/>
          <w:rtl/>
        </w:rPr>
      </w:pPr>
    </w:p>
    <w:p w:rsidR="005C719B" w:rsidRDefault="005C719B" w:rsidP="005C719B">
      <w:pPr>
        <w:pStyle w:val="Ruller5"/>
        <w:spacing w:line="360" w:lineRule="auto"/>
        <w:ind w:left="1076"/>
        <w:rPr>
          <w:rFonts w:ascii="David" w:hAnsi="David" w:cs="David"/>
          <w:b/>
          <w:bCs/>
          <w:spacing w:val="0"/>
          <w:sz w:val="24"/>
          <w:szCs w:val="24"/>
          <w:rtl/>
        </w:rPr>
      </w:pPr>
      <w:r>
        <w:rPr>
          <w:rFonts w:ascii="David" w:hAnsi="David" w:cs="David"/>
          <w:b/>
          <w:bCs/>
          <w:spacing w:val="0"/>
          <w:sz w:val="24"/>
          <w:szCs w:val="24"/>
          <w:rtl/>
        </w:rPr>
        <w:t xml:space="preserve">"קורה לשופט שהדין והצדק מתרוצצים בקרבו, זה לכאן וזה לשם, והוא אינו יכול להביא אותם זה אל זה. במקרה כזה, ככל שהדבר קשה עליו, אסור לו לתת לייצרו שייגבר על יוצרו. כך הדבר משום ששבועת השופט, עד שהיא מצווה עליו לעשות משפט צדק, מחייבת אותו לשמור אמונים לחוקי המדינה. ראו חוק יסוד: השפיטה, סעיף 6. למעלה מכך: בלא משפט, בחשבון ארוך ואמיתי, אין צדק. </w:t>
      </w:r>
    </w:p>
    <w:p w:rsidR="005C719B" w:rsidRDefault="005C719B" w:rsidP="005C719B">
      <w:pPr>
        <w:pStyle w:val="Ruller5"/>
        <w:spacing w:line="360" w:lineRule="auto"/>
        <w:ind w:left="1076"/>
        <w:rPr>
          <w:rFonts w:ascii="David" w:hAnsi="David" w:cs="David"/>
          <w:b/>
          <w:bCs/>
          <w:spacing w:val="0"/>
          <w:sz w:val="24"/>
          <w:szCs w:val="24"/>
          <w:rtl/>
        </w:rPr>
      </w:pPr>
      <w:r>
        <w:rPr>
          <w:rFonts w:ascii="David" w:hAnsi="David" w:cs="David"/>
          <w:b/>
          <w:bCs/>
          <w:spacing w:val="0"/>
          <w:sz w:val="24"/>
          <w:szCs w:val="24"/>
          <w:rtl/>
        </w:rPr>
        <w:t>לכן, חלילה לשופט לעבור בקפיצה מהעובדות אל הצדק, כאילו אין דין חוצץ ביניהם. כבודו של הצדק במקומו מונח. אך הוא חייב להיות מונח על תשתית של דין" (עמ' 772-773 לפסק הדין)".</w:t>
      </w:r>
    </w:p>
    <w:p w:rsidR="005C719B" w:rsidRDefault="005C719B" w:rsidP="005C719B">
      <w:pPr>
        <w:pStyle w:val="Ruller5"/>
        <w:spacing w:line="360" w:lineRule="auto"/>
        <w:rPr>
          <w:rFonts w:ascii="David" w:hAnsi="David" w:cs="David"/>
          <w:spacing w:val="0"/>
          <w:sz w:val="24"/>
          <w:szCs w:val="24"/>
          <w:rtl/>
        </w:rPr>
      </w:pPr>
    </w:p>
    <w:p w:rsidR="005C719B" w:rsidRDefault="005C719B" w:rsidP="005C719B">
      <w:pPr>
        <w:pStyle w:val="Ruller5"/>
        <w:spacing w:line="360" w:lineRule="auto"/>
        <w:ind w:left="-58" w:right="0"/>
        <w:rPr>
          <w:rFonts w:ascii="David" w:hAnsi="David" w:cs="David"/>
          <w:spacing w:val="0"/>
          <w:sz w:val="24"/>
          <w:szCs w:val="24"/>
          <w:rtl/>
        </w:rPr>
      </w:pPr>
      <w:r>
        <w:rPr>
          <w:rFonts w:ascii="David" w:hAnsi="David" w:cs="David"/>
          <w:spacing w:val="0"/>
          <w:sz w:val="24"/>
          <w:szCs w:val="24"/>
          <w:rtl/>
        </w:rPr>
        <w:t xml:space="preserve">ראו גם: בע"מ 7141/15 </w:t>
      </w:r>
      <w:r>
        <w:rPr>
          <w:rFonts w:ascii="David" w:hAnsi="David" w:cs="David"/>
          <w:b/>
          <w:bCs/>
          <w:spacing w:val="0"/>
          <w:sz w:val="24"/>
          <w:szCs w:val="24"/>
          <w:rtl/>
        </w:rPr>
        <w:t>פלונית נ' פל</w:t>
      </w:r>
      <w:r>
        <w:rPr>
          <w:rFonts w:ascii="David" w:hAnsi="David" w:cs="David"/>
          <w:spacing w:val="0"/>
          <w:sz w:val="24"/>
          <w:szCs w:val="24"/>
          <w:rtl/>
        </w:rPr>
        <w:t xml:space="preserve">וני (22.12.16); ע"א 1527/16 </w:t>
      </w:r>
      <w:r>
        <w:rPr>
          <w:rFonts w:ascii="David" w:hAnsi="David" w:cs="David"/>
          <w:b/>
          <w:bCs/>
          <w:spacing w:val="0"/>
          <w:sz w:val="24"/>
          <w:szCs w:val="24"/>
          <w:rtl/>
        </w:rPr>
        <w:t>כאמל מוחמד שיבלי נ' מדינת</w:t>
      </w:r>
      <w:r>
        <w:rPr>
          <w:rFonts w:ascii="David" w:hAnsi="David" w:cs="David"/>
          <w:spacing w:val="0"/>
          <w:sz w:val="24"/>
          <w:szCs w:val="24"/>
          <w:rtl/>
        </w:rPr>
        <w:t xml:space="preserve"> </w:t>
      </w:r>
      <w:r>
        <w:rPr>
          <w:rFonts w:ascii="David" w:hAnsi="David" w:cs="David"/>
          <w:b/>
          <w:bCs/>
          <w:spacing w:val="0"/>
          <w:sz w:val="24"/>
          <w:szCs w:val="24"/>
          <w:rtl/>
        </w:rPr>
        <w:t>ישראל</w:t>
      </w:r>
      <w:r>
        <w:rPr>
          <w:rFonts w:ascii="David" w:hAnsi="David" w:cs="David"/>
          <w:spacing w:val="0"/>
          <w:sz w:val="24"/>
          <w:szCs w:val="24"/>
          <w:rtl/>
        </w:rPr>
        <w:t xml:space="preserve"> (29.3.18); רע"א 4458/06 </w:t>
      </w:r>
      <w:r>
        <w:rPr>
          <w:rFonts w:ascii="David" w:hAnsi="David" w:cs="David"/>
          <w:b/>
          <w:bCs/>
          <w:spacing w:val="0"/>
          <w:sz w:val="24"/>
          <w:szCs w:val="24"/>
          <w:rtl/>
        </w:rPr>
        <w:t xml:space="preserve">משה הר בע"מ נ' עלי בסול </w:t>
      </w:r>
      <w:r>
        <w:rPr>
          <w:rFonts w:ascii="David" w:hAnsi="David" w:cs="David"/>
          <w:spacing w:val="0"/>
          <w:sz w:val="24"/>
          <w:szCs w:val="24"/>
          <w:rtl/>
        </w:rPr>
        <w:t xml:space="preserve">(22.6.06) וע"א 624/13 </w:t>
      </w:r>
      <w:r>
        <w:rPr>
          <w:rFonts w:ascii="David" w:hAnsi="David" w:cs="David"/>
          <w:b/>
          <w:bCs/>
          <w:spacing w:val="0"/>
          <w:sz w:val="24"/>
          <w:szCs w:val="24"/>
          <w:rtl/>
        </w:rPr>
        <w:t>אסתר מורדכיוב נ' שלמה מינץ</w:t>
      </w:r>
      <w:r>
        <w:rPr>
          <w:rFonts w:ascii="David" w:hAnsi="David" w:cs="David"/>
          <w:spacing w:val="0"/>
          <w:sz w:val="24"/>
          <w:szCs w:val="24"/>
          <w:rtl/>
        </w:rPr>
        <w:t xml:space="preserve"> (4.8.14).  </w:t>
      </w:r>
    </w:p>
    <w:p w:rsidR="005C719B" w:rsidRDefault="005C719B" w:rsidP="005C719B">
      <w:pPr>
        <w:pStyle w:val="Ruller5"/>
        <w:spacing w:line="360" w:lineRule="auto"/>
        <w:rPr>
          <w:rFonts w:ascii="David" w:hAnsi="David" w:cs="David"/>
          <w:spacing w:val="0"/>
          <w:sz w:val="24"/>
          <w:szCs w:val="24"/>
          <w:rtl/>
        </w:rPr>
      </w:pPr>
    </w:p>
    <w:p w:rsidR="00C07A8C" w:rsidRDefault="005C719B" w:rsidP="005C719B">
      <w:pPr>
        <w:pStyle w:val="Ruller5"/>
        <w:spacing w:line="360" w:lineRule="auto"/>
        <w:ind w:left="-58" w:right="0"/>
        <w:rPr>
          <w:rFonts w:ascii="David" w:hAnsi="David" w:cs="David"/>
          <w:spacing w:val="0"/>
          <w:sz w:val="24"/>
          <w:szCs w:val="24"/>
          <w:rtl/>
        </w:rPr>
      </w:pPr>
      <w:r>
        <w:rPr>
          <w:rFonts w:ascii="David" w:hAnsi="David" w:cs="David"/>
          <w:spacing w:val="0"/>
          <w:sz w:val="24"/>
          <w:szCs w:val="24"/>
          <w:rtl/>
        </w:rPr>
        <w:t>לפיכך, אני מצטרף לעמדתו של חברי ס"נ השופט שוחט, שמאחר שמבחינה משפטית לא ניתן היה לפסוק "לפנים משורת הדין", יש להשיב את התיק לבית המשפט קמא על מנת שיכריע בטענות הצדדים בנושא דמי השימוש הראויים, בהתאם לדין.</w:t>
      </w:r>
    </w:p>
    <w:tbl>
      <w:tblPr>
        <w:bidiVisual/>
        <w:tblW w:w="0" w:type="auto"/>
        <w:tblInd w:w="4932" w:type="dxa"/>
        <w:tblCellMar>
          <w:left w:w="0" w:type="dxa"/>
          <w:right w:w="0" w:type="dxa"/>
        </w:tblCellMar>
        <w:tblLook w:val="04A0" w:firstRow="1" w:lastRow="0" w:firstColumn="1" w:lastColumn="0" w:noHBand="0" w:noVBand="1"/>
      </w:tblPr>
      <w:tblGrid>
        <w:gridCol w:w="2872"/>
      </w:tblGrid>
      <w:tr w:rsidR="00C07A8C" w:rsidTr="00C07A8C">
        <w:tc>
          <w:tcPr>
            <w:tcW w:w="2872" w:type="dxa"/>
            <w:tcBorders>
              <w:top w:val="nil"/>
              <w:left w:val="nil"/>
              <w:bottom w:val="single" w:sz="8" w:space="0" w:color="auto"/>
              <w:right w:val="nil"/>
            </w:tcBorders>
            <w:tcMar>
              <w:top w:w="0" w:type="dxa"/>
              <w:left w:w="108" w:type="dxa"/>
              <w:bottom w:w="0" w:type="dxa"/>
              <w:right w:w="108" w:type="dxa"/>
            </w:tcMar>
            <w:hideMark/>
          </w:tcPr>
          <w:p w:rsidR="00C07A8C" w:rsidRDefault="00C07A8C">
            <w:pPr>
              <w:spacing w:line="360" w:lineRule="auto"/>
              <w:ind w:left="360"/>
              <w:jc w:val="both"/>
              <w:rPr>
                <w:rFonts w:ascii="David" w:hAnsi="David"/>
              </w:rPr>
            </w:pPr>
            <w:r>
              <w:rPr>
                <w:rFonts w:ascii="David" w:hAnsi="David"/>
              </w:rPr>
              <w:lastRenderedPageBreak/>
              <w:drawing>
                <wp:inline distT="0" distB="0" distL="0" distR="0">
                  <wp:extent cx="1330325" cy="534670"/>
                  <wp:effectExtent l="0" t="0" r="3175" b="0"/>
                  <wp:docPr id="6" name="תמונה 6" descr="cid:image003.png@01D5D9AF.3D52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D9AF.3D52D3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30325" cy="534670"/>
                          </a:xfrm>
                          <a:prstGeom prst="rect">
                            <a:avLst/>
                          </a:prstGeom>
                          <a:noFill/>
                          <a:ln>
                            <a:noFill/>
                          </a:ln>
                        </pic:spPr>
                      </pic:pic>
                    </a:graphicData>
                  </a:graphic>
                </wp:inline>
              </w:drawing>
            </w:r>
          </w:p>
        </w:tc>
      </w:tr>
      <w:tr w:rsidR="00C07A8C" w:rsidTr="00C07A8C">
        <w:tc>
          <w:tcPr>
            <w:tcW w:w="2872" w:type="dxa"/>
            <w:tcMar>
              <w:top w:w="0" w:type="dxa"/>
              <w:left w:w="108" w:type="dxa"/>
              <w:bottom w:w="0" w:type="dxa"/>
              <w:right w:w="108" w:type="dxa"/>
            </w:tcMar>
            <w:hideMark/>
          </w:tcPr>
          <w:p w:rsidR="00C07A8C" w:rsidRDefault="00C07A8C">
            <w:pPr>
              <w:spacing w:line="360" w:lineRule="auto"/>
              <w:ind w:left="360"/>
              <w:jc w:val="center"/>
              <w:rPr>
                <w:rFonts w:ascii="David" w:hAnsi="David"/>
                <w:b/>
                <w:bCs/>
                <w:sz w:val="26"/>
                <w:szCs w:val="26"/>
                <w:rtl/>
              </w:rPr>
            </w:pPr>
            <w:r>
              <w:rPr>
                <w:rFonts w:ascii="David" w:hAnsi="David"/>
                <w:b/>
                <w:bCs/>
                <w:sz w:val="26"/>
                <w:szCs w:val="26"/>
                <w:rtl/>
              </w:rPr>
              <w:t>נפתלי שילה, שופט</w:t>
            </w:r>
          </w:p>
        </w:tc>
      </w:tr>
    </w:tbl>
    <w:p w:rsidR="005C719B" w:rsidRDefault="005C719B" w:rsidP="005C719B">
      <w:pPr>
        <w:spacing w:before="240" w:after="240" w:line="360" w:lineRule="auto"/>
        <w:jc w:val="both"/>
        <w:rPr>
          <w:rFonts w:ascii="David" w:hAnsi="David"/>
          <w:spacing w:val="10"/>
          <w:rtl/>
        </w:rPr>
      </w:pPr>
      <w:r>
        <w:rPr>
          <w:rFonts w:ascii="David" w:hAnsi="David"/>
          <w:b/>
          <w:bCs/>
          <w:u w:val="single"/>
          <w:rtl/>
        </w:rPr>
        <w:t>השופטת עינת רביד:</w:t>
      </w:r>
    </w:p>
    <w:p w:rsidR="005C719B" w:rsidRDefault="005C719B" w:rsidP="001B4376">
      <w:pPr>
        <w:spacing w:before="240" w:after="240" w:line="360" w:lineRule="auto"/>
        <w:jc w:val="both"/>
        <w:rPr>
          <w:rFonts w:ascii="David" w:hAnsi="David"/>
          <w:rtl/>
        </w:rPr>
      </w:pPr>
      <w:r>
        <w:rPr>
          <w:rFonts w:ascii="David" w:hAnsi="David"/>
          <w:rtl/>
        </w:rPr>
        <w:t xml:space="preserve">אני מסכימה ומצטרפת </w:t>
      </w:r>
      <w:r w:rsidR="001B4376">
        <w:rPr>
          <w:rFonts w:ascii="David" w:hAnsi="David" w:hint="cs"/>
          <w:rtl/>
        </w:rPr>
        <w:t>פסק דינם</w:t>
      </w:r>
      <w:r>
        <w:rPr>
          <w:rFonts w:ascii="David" w:hAnsi="David"/>
          <w:rtl/>
        </w:rPr>
        <w:t xml:space="preserve"> של חבריי להרכב, ס"נ אב"ד השופט </w:t>
      </w:r>
      <w:r w:rsidR="001B4376">
        <w:rPr>
          <w:rFonts w:ascii="David" w:hAnsi="David" w:hint="cs"/>
          <w:rtl/>
        </w:rPr>
        <w:t xml:space="preserve">שאול </w:t>
      </w:r>
      <w:r w:rsidR="001B4376">
        <w:rPr>
          <w:rFonts w:ascii="David" w:hAnsi="David"/>
          <w:rtl/>
        </w:rPr>
        <w:t>שוחט</w:t>
      </w:r>
      <w:r>
        <w:rPr>
          <w:rFonts w:ascii="David" w:hAnsi="David"/>
          <w:rtl/>
        </w:rPr>
        <w:t xml:space="preserve"> והשופט </w:t>
      </w:r>
      <w:r w:rsidR="001B4376">
        <w:rPr>
          <w:rFonts w:ascii="David" w:hAnsi="David" w:hint="cs"/>
          <w:rtl/>
        </w:rPr>
        <w:t xml:space="preserve">נפתלי </w:t>
      </w:r>
      <w:r>
        <w:rPr>
          <w:rFonts w:ascii="David" w:hAnsi="David"/>
          <w:rtl/>
        </w:rPr>
        <w:t>שילה.</w:t>
      </w:r>
    </w:p>
    <w:p w:rsidR="005C719B" w:rsidRDefault="005C719B" w:rsidP="005C719B">
      <w:pPr>
        <w:spacing w:line="360" w:lineRule="auto"/>
        <w:ind w:left="1440"/>
        <w:rPr>
          <w:rFonts w:ascii="David" w:hAnsi="David"/>
          <w:rtl/>
        </w:rPr>
      </w:pPr>
      <w:r>
        <w:rPr>
          <w:rFonts w:ascii="Century" w:hAnsi="Century" w:cs="FrankRuehl"/>
          <w:sz w:val="20"/>
          <w:szCs w:val="28"/>
          <w:rtl/>
        </w:rPr>
        <w:drawing>
          <wp:anchor distT="0" distB="0" distL="114300" distR="114300" simplePos="0" relativeHeight="251659264" behindDoc="0" locked="0" layoutInCell="1" allowOverlap="1">
            <wp:simplePos x="0" y="0"/>
            <wp:positionH relativeFrom="column">
              <wp:posOffset>428625</wp:posOffset>
            </wp:positionH>
            <wp:positionV relativeFrom="paragraph">
              <wp:posOffset>72390</wp:posOffset>
            </wp:positionV>
            <wp:extent cx="1282700" cy="558165"/>
            <wp:effectExtent l="0" t="0" r="0" b="0"/>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0" cy="558165"/>
                    </a:xfrm>
                    <a:prstGeom prst="rect">
                      <a:avLst/>
                    </a:prstGeom>
                    <a:noFill/>
                  </pic:spPr>
                </pic:pic>
              </a:graphicData>
            </a:graphic>
            <wp14:sizeRelH relativeFrom="page">
              <wp14:pctWidth>0</wp14:pctWidth>
            </wp14:sizeRelH>
            <wp14:sizeRelV relativeFrom="page">
              <wp14:pctHeight>0</wp14:pctHeight>
            </wp14:sizeRelV>
          </wp:anchor>
        </w:drawing>
      </w:r>
    </w:p>
    <w:p w:rsidR="005C719B" w:rsidRDefault="005C719B" w:rsidP="005C719B">
      <w:pPr>
        <w:spacing w:line="360" w:lineRule="auto"/>
        <w:ind w:left="5040"/>
        <w:rPr>
          <w:rFonts w:ascii="David" w:hAnsi="David"/>
          <w:rtl/>
        </w:rPr>
      </w:pPr>
    </w:p>
    <w:p w:rsidR="005C719B" w:rsidRDefault="005C719B" w:rsidP="005C719B">
      <w:pPr>
        <w:spacing w:line="360" w:lineRule="auto"/>
        <w:ind w:left="5040"/>
        <w:rPr>
          <w:rFonts w:ascii="David" w:hAnsi="David"/>
          <w:rtl/>
        </w:rPr>
      </w:pPr>
    </w:p>
    <w:tbl>
      <w:tblPr>
        <w:tblStyle w:val="a9"/>
        <w:bidiVisual/>
        <w:tblW w:w="0" w:type="auto"/>
        <w:tblInd w:w="5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5C719B" w:rsidTr="005C719B">
        <w:tc>
          <w:tcPr>
            <w:tcW w:w="2919" w:type="dxa"/>
            <w:tcBorders>
              <w:top w:val="nil"/>
              <w:left w:val="nil"/>
              <w:bottom w:val="single" w:sz="4" w:space="0" w:color="auto"/>
              <w:right w:val="nil"/>
            </w:tcBorders>
            <w:vAlign w:val="center"/>
          </w:tcPr>
          <w:p w:rsidR="005C719B" w:rsidRDefault="005C719B" w:rsidP="005C719B">
            <w:pPr>
              <w:spacing w:line="360" w:lineRule="auto"/>
              <w:jc w:val="center"/>
              <w:rPr>
                <w:rFonts w:ascii="David" w:hAnsi="David"/>
                <w:b/>
                <w:bCs/>
                <w:rtl/>
              </w:rPr>
            </w:pPr>
          </w:p>
        </w:tc>
      </w:tr>
      <w:tr w:rsidR="005C719B" w:rsidTr="005C719B">
        <w:tc>
          <w:tcPr>
            <w:tcW w:w="2919" w:type="dxa"/>
            <w:tcBorders>
              <w:top w:val="single" w:sz="4" w:space="0" w:color="auto"/>
              <w:left w:val="nil"/>
              <w:bottom w:val="nil"/>
              <w:right w:val="nil"/>
            </w:tcBorders>
            <w:vAlign w:val="bottom"/>
          </w:tcPr>
          <w:p w:rsidR="005C719B" w:rsidRDefault="005C719B" w:rsidP="005C719B">
            <w:pPr>
              <w:spacing w:line="360" w:lineRule="auto"/>
              <w:jc w:val="center"/>
              <w:rPr>
                <w:rFonts w:ascii="David" w:hAnsi="David"/>
                <w:b/>
                <w:bCs/>
                <w:rtl/>
              </w:rPr>
            </w:pPr>
            <w:r>
              <w:rPr>
                <w:rFonts w:ascii="David" w:hAnsi="David"/>
                <w:b/>
                <w:bCs/>
                <w:rtl/>
              </w:rPr>
              <w:t>עינת רביד, שופטת</w:t>
            </w:r>
          </w:p>
          <w:p w:rsidR="005C719B" w:rsidRDefault="005C719B" w:rsidP="005C719B">
            <w:pPr>
              <w:spacing w:line="360" w:lineRule="auto"/>
              <w:jc w:val="center"/>
              <w:rPr>
                <w:rFonts w:ascii="David" w:hAnsi="David"/>
                <w:b/>
                <w:bCs/>
              </w:rPr>
            </w:pPr>
          </w:p>
        </w:tc>
      </w:tr>
    </w:tbl>
    <w:p w:rsidR="005C719B" w:rsidRDefault="005C719B" w:rsidP="005C719B">
      <w:pPr>
        <w:spacing w:line="360" w:lineRule="auto"/>
        <w:rPr>
          <w:rFonts w:ascii="David" w:hAnsi="David"/>
          <w:noProof w:val="0"/>
          <w:spacing w:val="10"/>
          <w:rtl/>
        </w:rPr>
      </w:pPr>
      <w:r>
        <w:rPr>
          <w:rFonts w:ascii="David" w:hAnsi="David"/>
          <w:rtl/>
        </w:rPr>
        <w:t xml:space="preserve">הוחלט בהתאם לפסק דינו של ס"נ אב"ד השופט </w:t>
      </w:r>
      <w:r w:rsidR="001B4376">
        <w:rPr>
          <w:rFonts w:ascii="David" w:hAnsi="David" w:hint="cs"/>
          <w:rtl/>
        </w:rPr>
        <w:t xml:space="preserve">שאול </w:t>
      </w:r>
      <w:r>
        <w:rPr>
          <w:rFonts w:ascii="David" w:hAnsi="David"/>
          <w:rtl/>
        </w:rPr>
        <w:t xml:space="preserve">שוחט. </w:t>
      </w:r>
    </w:p>
    <w:p w:rsidR="001B4376" w:rsidRDefault="001B4376" w:rsidP="005C719B">
      <w:pPr>
        <w:spacing w:line="360" w:lineRule="auto"/>
        <w:rPr>
          <w:rFonts w:ascii="David" w:hAnsi="David"/>
          <w:noProof w:val="0"/>
          <w:spacing w:val="10"/>
          <w:rtl/>
        </w:rPr>
      </w:pPr>
    </w:p>
    <w:p w:rsidR="001B4376" w:rsidRDefault="001B4376" w:rsidP="005C719B">
      <w:pPr>
        <w:spacing w:line="360" w:lineRule="auto"/>
        <w:rPr>
          <w:rFonts w:ascii="David" w:hAnsi="David"/>
          <w:noProof w:val="0"/>
          <w:spacing w:val="10"/>
          <w:rtl/>
        </w:rPr>
      </w:pPr>
      <w:r>
        <w:rPr>
          <w:rFonts w:ascii="David" w:hAnsi="David" w:hint="cs"/>
          <w:noProof w:val="0"/>
          <w:spacing w:val="10"/>
          <w:rtl/>
        </w:rPr>
        <w:t>העירבון שהפקידו המערערות, על פירותיו, יושב להלן באמצעות בא כוחם.</w:t>
      </w:r>
    </w:p>
    <w:p w:rsidR="005C719B" w:rsidRDefault="005C719B" w:rsidP="005C719B">
      <w:pPr>
        <w:spacing w:line="360" w:lineRule="auto"/>
        <w:rPr>
          <w:rFonts w:ascii="David" w:hAnsi="David"/>
          <w:rtl/>
        </w:rPr>
      </w:pPr>
    </w:p>
    <w:p w:rsidR="005C719B" w:rsidRDefault="005C719B" w:rsidP="005C719B">
      <w:pPr>
        <w:spacing w:after="240" w:line="360" w:lineRule="auto"/>
        <w:jc w:val="both"/>
        <w:rPr>
          <w:rFonts w:ascii="David" w:hAnsi="David"/>
          <w:rtl/>
        </w:rPr>
      </w:pPr>
      <w:r>
        <w:rPr>
          <w:rFonts w:ascii="David" w:hAnsi="David"/>
          <w:rtl/>
        </w:rPr>
        <w:t>המזכירות תמציא העתק מפסק הדין לב"כ הצדדים.</w:t>
      </w:r>
    </w:p>
    <w:p w:rsidR="005C719B" w:rsidRDefault="005C719B" w:rsidP="005C719B">
      <w:pPr>
        <w:spacing w:line="360" w:lineRule="auto"/>
        <w:jc w:val="both"/>
        <w:rPr>
          <w:rFonts w:ascii="David" w:hAnsi="David"/>
          <w:rtl/>
        </w:rPr>
      </w:pPr>
      <w:r>
        <w:rPr>
          <w:rFonts w:ascii="David" w:hAnsi="David"/>
          <w:rtl/>
        </w:rPr>
        <w:t xml:space="preserve">ניתנה היום,  </w:t>
      </w:r>
      <w:sdt>
        <w:sdtPr>
          <w:rPr>
            <w:rFonts w:ascii="David" w:hAnsi="David"/>
            <w:rtl/>
          </w:rPr>
          <w:alias w:val="1455"/>
          <w:tag w:val="1455"/>
          <w:id w:val="1235735686"/>
          <w:text w:multiLine="1"/>
        </w:sdtPr>
        <w:sdtEndPr/>
        <w:sdtContent>
          <w:r>
            <w:rPr>
              <w:rFonts w:ascii="David" w:hAnsi="David"/>
              <w:rtl/>
            </w:rPr>
            <w:t>כ"ט תמוז תשפ"ג</w:t>
          </w:r>
        </w:sdtContent>
      </w:sdt>
      <w:r>
        <w:rPr>
          <w:rFonts w:ascii="David" w:hAnsi="David"/>
          <w:rtl/>
        </w:rPr>
        <w:t xml:space="preserve">, </w:t>
      </w:r>
      <w:sdt>
        <w:sdtPr>
          <w:rPr>
            <w:rFonts w:ascii="David" w:hAnsi="David"/>
            <w:rtl/>
          </w:rPr>
          <w:alias w:val="1456"/>
          <w:tag w:val="1456"/>
          <w:id w:val="2052102366"/>
          <w:text w:multiLine="1"/>
        </w:sdtPr>
        <w:sdtEndPr/>
        <w:sdtContent>
          <w:r>
            <w:rPr>
              <w:rFonts w:ascii="David" w:hAnsi="David"/>
              <w:rtl/>
            </w:rPr>
            <w:t>18 יולי 2023</w:t>
          </w:r>
        </w:sdtContent>
      </w:sdt>
      <w:r>
        <w:rPr>
          <w:rFonts w:ascii="David" w:hAnsi="David"/>
          <w:rtl/>
        </w:rPr>
        <w:t>, בהעדר הצדדים.</w:t>
      </w:r>
    </w:p>
    <w:p w:rsidR="005C719B" w:rsidRDefault="005C719B" w:rsidP="005C719B">
      <w:pPr>
        <w:rPr>
          <w:rFonts w:ascii="David" w:hAnsi="David"/>
          <w:spacing w:val="10"/>
        </w:rPr>
      </w:pPr>
    </w:p>
    <w:tbl>
      <w:tblPr>
        <w:bidiVisual/>
        <w:tblW w:w="8597" w:type="dxa"/>
        <w:tblCellMar>
          <w:left w:w="0" w:type="dxa"/>
          <w:right w:w="0" w:type="dxa"/>
        </w:tblCellMar>
        <w:tblLook w:val="04A0" w:firstRow="1" w:lastRow="0" w:firstColumn="1" w:lastColumn="0" w:noHBand="0" w:noVBand="1"/>
      </w:tblPr>
      <w:tblGrid>
        <w:gridCol w:w="2988"/>
        <w:gridCol w:w="238"/>
        <w:gridCol w:w="2321"/>
        <w:gridCol w:w="303"/>
        <w:gridCol w:w="2747"/>
      </w:tblGrid>
      <w:tr w:rsidR="005C719B" w:rsidTr="005C719B">
        <w:trPr>
          <w:trHeight w:val="1117"/>
        </w:trPr>
        <w:tc>
          <w:tcPr>
            <w:tcW w:w="2988" w:type="dxa"/>
            <w:tcBorders>
              <w:top w:val="nil"/>
              <w:left w:val="nil"/>
              <w:bottom w:val="single" w:sz="8" w:space="0" w:color="auto"/>
              <w:right w:val="nil"/>
            </w:tcBorders>
            <w:tcMar>
              <w:top w:w="0" w:type="dxa"/>
              <w:left w:w="108" w:type="dxa"/>
              <w:bottom w:w="0" w:type="dxa"/>
              <w:right w:w="108" w:type="dxa"/>
            </w:tcMar>
            <w:vAlign w:val="center"/>
            <w:hideMark/>
          </w:tcPr>
          <w:p w:rsidR="005C719B" w:rsidRDefault="005C719B">
            <w:pPr>
              <w:jc w:val="center"/>
              <w:rPr>
                <w:rFonts w:ascii="David" w:hAnsi="David"/>
                <w:b/>
                <w:bCs/>
                <w:rtl/>
                <w:lang w:eastAsia="he-IL"/>
              </w:rPr>
            </w:pPr>
            <w:r>
              <w:rPr>
                <w:rFonts w:ascii="David" w:hAnsi="David"/>
                <w:b/>
                <w:bCs/>
              </w:rPr>
              <w:drawing>
                <wp:inline distT="0" distB="0" distL="0" distR="0">
                  <wp:extent cx="1485900" cy="742950"/>
                  <wp:effectExtent l="0" t="0" r="0" b="0"/>
                  <wp:docPr id="4" name="תמונה 4" descr="cid:image004.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56948.29CD4D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85900" cy="742950"/>
                          </a:xfrm>
                          <a:prstGeom prst="rect">
                            <a:avLst/>
                          </a:prstGeom>
                          <a:noFill/>
                          <a:ln>
                            <a:noFill/>
                          </a:ln>
                        </pic:spPr>
                      </pic:pic>
                    </a:graphicData>
                  </a:graphic>
                </wp:inline>
              </w:drawing>
            </w:r>
          </w:p>
        </w:tc>
        <w:tc>
          <w:tcPr>
            <w:tcW w:w="238" w:type="dxa"/>
            <w:tcMar>
              <w:top w:w="0" w:type="dxa"/>
              <w:left w:w="108" w:type="dxa"/>
              <w:bottom w:w="0" w:type="dxa"/>
              <w:right w:w="108" w:type="dxa"/>
            </w:tcMar>
            <w:vAlign w:val="center"/>
          </w:tcPr>
          <w:p w:rsidR="005C719B" w:rsidRDefault="005C719B">
            <w:pPr>
              <w:jc w:val="center"/>
              <w:rPr>
                <w:rFonts w:ascii="David" w:hAnsi="David"/>
                <w:b/>
                <w:bCs/>
                <w:lang w:eastAsia="he-IL"/>
              </w:rPr>
            </w:pPr>
          </w:p>
        </w:tc>
        <w:tc>
          <w:tcPr>
            <w:tcW w:w="2321" w:type="dxa"/>
            <w:tcBorders>
              <w:top w:val="nil"/>
              <w:left w:val="nil"/>
              <w:bottom w:val="single" w:sz="8" w:space="0" w:color="auto"/>
              <w:right w:val="nil"/>
            </w:tcBorders>
            <w:tcMar>
              <w:top w:w="0" w:type="dxa"/>
              <w:left w:w="108" w:type="dxa"/>
              <w:bottom w:w="0" w:type="dxa"/>
              <w:right w:w="108" w:type="dxa"/>
            </w:tcMar>
            <w:vAlign w:val="center"/>
          </w:tcPr>
          <w:p w:rsidR="005C719B" w:rsidRDefault="005C719B">
            <w:pPr>
              <w:jc w:val="center"/>
              <w:rPr>
                <w:rFonts w:ascii="David" w:hAnsi="David"/>
                <w:b/>
                <w:bCs/>
                <w:rtl/>
                <w:lang w:eastAsia="he-IL"/>
              </w:rPr>
            </w:pPr>
            <w:r>
              <w:rPr>
                <w:rFonts w:ascii="David" w:hAnsi="David"/>
              </w:rPr>
              <w:drawing>
                <wp:inline distT="0" distB="0" distL="0" distR="0">
                  <wp:extent cx="1285875" cy="561975"/>
                  <wp:effectExtent l="0" t="0" r="9525" b="9525"/>
                  <wp:docPr id="3" name="תמונה 3" descr="cid:image001.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6948.29CD4D60"/>
                          <pic:cNvPicPr>
                            <a:picLocks noChangeAspect="1" noChangeArrowheads="1"/>
                          </pic:cNvPicPr>
                        </pic:nvPicPr>
                        <pic:blipFill>
                          <a:blip r:embed="rId11" r:link="rId14">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p w:rsidR="005C719B" w:rsidRDefault="005C719B">
            <w:pPr>
              <w:jc w:val="center"/>
              <w:rPr>
                <w:rFonts w:ascii="David" w:hAnsi="David"/>
                <w:b/>
                <w:bCs/>
                <w:rtl/>
                <w:lang w:eastAsia="he-IL"/>
              </w:rPr>
            </w:pPr>
          </w:p>
        </w:tc>
        <w:tc>
          <w:tcPr>
            <w:tcW w:w="303" w:type="dxa"/>
            <w:tcMar>
              <w:top w:w="0" w:type="dxa"/>
              <w:left w:w="108" w:type="dxa"/>
              <w:bottom w:w="0" w:type="dxa"/>
              <w:right w:w="108" w:type="dxa"/>
            </w:tcMar>
            <w:vAlign w:val="center"/>
          </w:tcPr>
          <w:p w:rsidR="005C719B" w:rsidRDefault="005C719B">
            <w:pPr>
              <w:jc w:val="center"/>
              <w:rPr>
                <w:rFonts w:ascii="David" w:hAnsi="David"/>
                <w:b/>
                <w:bCs/>
                <w:rtl/>
                <w:lang w:eastAsia="he-IL"/>
              </w:rPr>
            </w:pPr>
          </w:p>
        </w:tc>
        <w:tc>
          <w:tcPr>
            <w:tcW w:w="2747" w:type="dxa"/>
            <w:tcBorders>
              <w:top w:val="nil"/>
              <w:left w:val="nil"/>
              <w:bottom w:val="single" w:sz="8" w:space="0" w:color="auto"/>
              <w:right w:val="nil"/>
            </w:tcBorders>
            <w:tcMar>
              <w:top w:w="0" w:type="dxa"/>
              <w:left w:w="108" w:type="dxa"/>
              <w:bottom w:w="0" w:type="dxa"/>
              <w:right w:w="108" w:type="dxa"/>
            </w:tcMar>
            <w:vAlign w:val="center"/>
            <w:hideMark/>
          </w:tcPr>
          <w:p w:rsidR="005C719B" w:rsidRDefault="005C719B">
            <w:pPr>
              <w:jc w:val="center"/>
              <w:rPr>
                <w:rFonts w:ascii="David" w:hAnsi="David"/>
                <w:b/>
                <w:bCs/>
                <w:lang w:eastAsia="he-IL"/>
              </w:rPr>
            </w:pPr>
            <w:r>
              <w:rPr>
                <w:rFonts w:ascii="David" w:hAnsi="David"/>
              </w:rPr>
              <w:drawing>
                <wp:inline distT="0" distB="0" distL="0" distR="0">
                  <wp:extent cx="1333500" cy="533400"/>
                  <wp:effectExtent l="0" t="0" r="0" b="0"/>
                  <wp:docPr id="2" name="תמונה 2" descr="cid:image003.png@01D56948.29CD4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56948.29CD4D60"/>
                          <pic:cNvPicPr>
                            <a:picLocks noChangeAspect="1" noChangeArrowheads="1"/>
                          </pic:cNvPicPr>
                        </pic:nvPicPr>
                        <pic:blipFill>
                          <a:blip r:embed="rId9" r:link="rId15">
                            <a:extLst>
                              <a:ext uri="{28A0092B-C50C-407E-A947-70E740481C1C}">
                                <a14:useLocalDpi xmlns:a14="http://schemas.microsoft.com/office/drawing/2010/main" val="0"/>
                              </a:ext>
                            </a:extLst>
                          </a:blip>
                          <a:srcRect/>
                          <a:stretch>
                            <a:fillRect/>
                          </a:stretch>
                        </pic:blipFill>
                        <pic:spPr bwMode="auto">
                          <a:xfrm>
                            <a:off x="0" y="0"/>
                            <a:ext cx="1333500" cy="533400"/>
                          </a:xfrm>
                          <a:prstGeom prst="rect">
                            <a:avLst/>
                          </a:prstGeom>
                          <a:noFill/>
                          <a:ln>
                            <a:noFill/>
                          </a:ln>
                        </pic:spPr>
                      </pic:pic>
                    </a:graphicData>
                  </a:graphic>
                </wp:inline>
              </w:drawing>
            </w:r>
          </w:p>
        </w:tc>
      </w:tr>
      <w:tr w:rsidR="005C719B" w:rsidTr="005C719B">
        <w:trPr>
          <w:trHeight w:val="580"/>
        </w:trPr>
        <w:tc>
          <w:tcPr>
            <w:tcW w:w="2988" w:type="dxa"/>
            <w:tcMar>
              <w:top w:w="0" w:type="dxa"/>
              <w:left w:w="108" w:type="dxa"/>
              <w:bottom w:w="0" w:type="dxa"/>
              <w:right w:w="108" w:type="dxa"/>
            </w:tcMar>
            <w:vAlign w:val="center"/>
            <w:hideMark/>
          </w:tcPr>
          <w:p w:rsidR="005C719B" w:rsidRDefault="005C719B">
            <w:pPr>
              <w:jc w:val="center"/>
              <w:rPr>
                <w:rFonts w:ascii="David" w:hAnsi="David"/>
                <w:b/>
                <w:bCs/>
                <w:lang w:eastAsia="he-IL"/>
              </w:rPr>
            </w:pPr>
            <w:r>
              <w:rPr>
                <w:rFonts w:ascii="David" w:hAnsi="David"/>
                <w:b/>
                <w:bCs/>
                <w:rtl/>
                <w:lang w:eastAsia="he-IL"/>
              </w:rPr>
              <w:t>שאול שוחט, שופט</w:t>
            </w:r>
          </w:p>
          <w:p w:rsidR="005C719B" w:rsidRDefault="005C719B">
            <w:pPr>
              <w:jc w:val="center"/>
              <w:rPr>
                <w:rFonts w:ascii="David" w:hAnsi="David"/>
                <w:b/>
                <w:bCs/>
                <w:lang w:eastAsia="he-IL"/>
              </w:rPr>
            </w:pPr>
            <w:r>
              <w:rPr>
                <w:rFonts w:ascii="David" w:hAnsi="David"/>
                <w:b/>
                <w:bCs/>
                <w:rtl/>
                <w:lang w:eastAsia="he-IL"/>
              </w:rPr>
              <w:t>סג"נ-אב"ד</w:t>
            </w:r>
          </w:p>
        </w:tc>
        <w:tc>
          <w:tcPr>
            <w:tcW w:w="238" w:type="dxa"/>
            <w:tcMar>
              <w:top w:w="0" w:type="dxa"/>
              <w:left w:w="108" w:type="dxa"/>
              <w:bottom w:w="0" w:type="dxa"/>
              <w:right w:w="108" w:type="dxa"/>
            </w:tcMar>
            <w:vAlign w:val="center"/>
          </w:tcPr>
          <w:p w:rsidR="005C719B" w:rsidRDefault="005C719B">
            <w:pPr>
              <w:jc w:val="center"/>
              <w:rPr>
                <w:rFonts w:ascii="David" w:hAnsi="David"/>
                <w:b/>
                <w:bCs/>
                <w:lang w:eastAsia="he-IL"/>
              </w:rPr>
            </w:pPr>
          </w:p>
        </w:tc>
        <w:tc>
          <w:tcPr>
            <w:tcW w:w="2321" w:type="dxa"/>
            <w:tcMar>
              <w:top w:w="0" w:type="dxa"/>
              <w:left w:w="108" w:type="dxa"/>
              <w:bottom w:w="0" w:type="dxa"/>
              <w:right w:w="108" w:type="dxa"/>
            </w:tcMar>
            <w:vAlign w:val="center"/>
            <w:hideMark/>
          </w:tcPr>
          <w:p w:rsidR="005C719B" w:rsidRDefault="005C719B">
            <w:pPr>
              <w:jc w:val="center"/>
              <w:rPr>
                <w:rFonts w:ascii="David" w:hAnsi="David"/>
                <w:b/>
                <w:bCs/>
                <w:lang w:eastAsia="he-IL"/>
              </w:rPr>
            </w:pPr>
            <w:r>
              <w:rPr>
                <w:rFonts w:ascii="David" w:hAnsi="David"/>
                <w:b/>
                <w:bCs/>
                <w:rtl/>
                <w:lang w:eastAsia="he-IL"/>
              </w:rPr>
              <w:t>עינת רביד, שופטת</w:t>
            </w:r>
          </w:p>
        </w:tc>
        <w:tc>
          <w:tcPr>
            <w:tcW w:w="303" w:type="dxa"/>
            <w:tcMar>
              <w:top w:w="0" w:type="dxa"/>
              <w:left w:w="108" w:type="dxa"/>
              <w:bottom w:w="0" w:type="dxa"/>
              <w:right w:w="108" w:type="dxa"/>
            </w:tcMar>
            <w:vAlign w:val="center"/>
          </w:tcPr>
          <w:p w:rsidR="005C719B" w:rsidRDefault="005C719B">
            <w:pPr>
              <w:jc w:val="center"/>
              <w:rPr>
                <w:rFonts w:ascii="David" w:hAnsi="David"/>
                <w:b/>
                <w:bCs/>
                <w:rtl/>
                <w:lang w:eastAsia="he-IL"/>
              </w:rPr>
            </w:pPr>
          </w:p>
        </w:tc>
        <w:tc>
          <w:tcPr>
            <w:tcW w:w="2747" w:type="dxa"/>
            <w:tcMar>
              <w:top w:w="0" w:type="dxa"/>
              <w:left w:w="108" w:type="dxa"/>
              <w:bottom w:w="0" w:type="dxa"/>
              <w:right w:w="108" w:type="dxa"/>
            </w:tcMar>
            <w:vAlign w:val="center"/>
            <w:hideMark/>
          </w:tcPr>
          <w:p w:rsidR="005C719B" w:rsidRDefault="005C719B">
            <w:pPr>
              <w:jc w:val="center"/>
              <w:rPr>
                <w:rFonts w:ascii="David" w:hAnsi="David"/>
                <w:b/>
                <w:bCs/>
                <w:rtl/>
                <w:lang w:eastAsia="he-IL"/>
              </w:rPr>
            </w:pPr>
            <w:r>
              <w:rPr>
                <w:rFonts w:ascii="David" w:hAnsi="David"/>
                <w:b/>
                <w:bCs/>
                <w:rtl/>
                <w:lang w:eastAsia="he-IL"/>
              </w:rPr>
              <w:t>נפתלי שילה, שופט</w:t>
            </w:r>
          </w:p>
        </w:tc>
      </w:tr>
    </w:tbl>
    <w:p w:rsidR="00694556" w:rsidRDefault="00694556" w:rsidP="005C719B">
      <w:pPr>
        <w:spacing w:line="360" w:lineRule="auto"/>
        <w:jc w:val="both"/>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CD" w:rsidRDefault="00DA4DCD">
      <w:r>
        <w:separator/>
      </w:r>
    </w:p>
  </w:endnote>
  <w:endnote w:type="continuationSeparator" w:id="0">
    <w:p w:rsidR="00DA4DCD" w:rsidRDefault="00D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376" w:rsidRDefault="001B437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76D2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76D26">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376" w:rsidRDefault="001B437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CD" w:rsidRDefault="00DA4DCD">
      <w:r>
        <w:separator/>
      </w:r>
    </w:p>
  </w:footnote>
  <w:footnote w:type="continuationSeparator" w:id="0">
    <w:p w:rsidR="00DA4DCD" w:rsidRDefault="00DA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376" w:rsidRDefault="001B437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DA4DCD">
          <w:pPr>
            <w:rPr>
              <w:b/>
              <w:bCs/>
              <w:noProof w:val="0"/>
              <w:sz w:val="26"/>
              <w:szCs w:val="26"/>
              <w:rtl/>
            </w:rPr>
          </w:pPr>
          <w:sdt>
            <w:sdtPr>
              <w:rPr>
                <w:rtl/>
              </w:rPr>
              <w:alias w:val="1170"/>
              <w:tag w:val="1170"/>
              <w:id w:val="1272976944"/>
              <w:text w:multiLine="1"/>
            </w:sdtPr>
            <w:sdtEndPr/>
            <w:sdtContent>
              <w:r w:rsidR="00FB7194">
                <w:rPr>
                  <w:b/>
                  <w:bCs/>
                  <w:noProof w:val="0"/>
                  <w:sz w:val="26"/>
                  <w:szCs w:val="26"/>
                  <w:rtl/>
                </w:rPr>
                <w:t>ע"א</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10270-10-22</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FB7194">
                <w:rPr>
                  <w:b/>
                  <w:bCs/>
                  <w:noProof w:val="0"/>
                  <w:sz w:val="26"/>
                  <w:szCs w:val="26"/>
                  <w:rtl/>
                </w:rPr>
                <w:t>דיור ב.פ.בעמ ואח' נ' מנובלה ז"ל  ואחרים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18 יולי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376" w:rsidRDefault="001B43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564AB"/>
    <w:rsid w:val="00064FBD"/>
    <w:rsid w:val="00076D26"/>
    <w:rsid w:val="00096AF7"/>
    <w:rsid w:val="000C1D1F"/>
    <w:rsid w:val="000C3B0F"/>
    <w:rsid w:val="000F0BC8"/>
    <w:rsid w:val="00107E6D"/>
    <w:rsid w:val="0011194C"/>
    <w:rsid w:val="00116E4D"/>
    <w:rsid w:val="001346CC"/>
    <w:rsid w:val="00144D2A"/>
    <w:rsid w:val="00180519"/>
    <w:rsid w:val="001B4376"/>
    <w:rsid w:val="001C4003"/>
    <w:rsid w:val="0020333C"/>
    <w:rsid w:val="002265FF"/>
    <w:rsid w:val="00307A6A"/>
    <w:rsid w:val="00307C40"/>
    <w:rsid w:val="00320433"/>
    <w:rsid w:val="003333B2"/>
    <w:rsid w:val="00333451"/>
    <w:rsid w:val="003506A5"/>
    <w:rsid w:val="0036743F"/>
    <w:rsid w:val="0043125D"/>
    <w:rsid w:val="0043502B"/>
    <w:rsid w:val="004359FB"/>
    <w:rsid w:val="0044462A"/>
    <w:rsid w:val="004B356B"/>
    <w:rsid w:val="004C4BDF"/>
    <w:rsid w:val="004D0FA5"/>
    <w:rsid w:val="004D1187"/>
    <w:rsid w:val="004E6E3C"/>
    <w:rsid w:val="004F389B"/>
    <w:rsid w:val="00504841"/>
    <w:rsid w:val="00517733"/>
    <w:rsid w:val="005268F6"/>
    <w:rsid w:val="00547DB7"/>
    <w:rsid w:val="005C719B"/>
    <w:rsid w:val="005E2E46"/>
    <w:rsid w:val="005E63DC"/>
    <w:rsid w:val="00622BAA"/>
    <w:rsid w:val="00671BD5"/>
    <w:rsid w:val="006805C1"/>
    <w:rsid w:val="00694556"/>
    <w:rsid w:val="006C3D60"/>
    <w:rsid w:val="006D201D"/>
    <w:rsid w:val="006E1A53"/>
    <w:rsid w:val="00704EDA"/>
    <w:rsid w:val="007E6115"/>
    <w:rsid w:val="007F4609"/>
    <w:rsid w:val="008023D9"/>
    <w:rsid w:val="00820005"/>
    <w:rsid w:val="00825203"/>
    <w:rsid w:val="00896889"/>
    <w:rsid w:val="008A14D8"/>
    <w:rsid w:val="008A44DA"/>
    <w:rsid w:val="008B230D"/>
    <w:rsid w:val="008C5714"/>
    <w:rsid w:val="00903896"/>
    <w:rsid w:val="00906F3D"/>
    <w:rsid w:val="009109C6"/>
    <w:rsid w:val="00912B5F"/>
    <w:rsid w:val="00914C89"/>
    <w:rsid w:val="00A02D93"/>
    <w:rsid w:val="00A17197"/>
    <w:rsid w:val="00A912E2"/>
    <w:rsid w:val="00A94B64"/>
    <w:rsid w:val="00AC3B7B"/>
    <w:rsid w:val="00AC5209"/>
    <w:rsid w:val="00B80CBD"/>
    <w:rsid w:val="00B86096"/>
    <w:rsid w:val="00B96FA1"/>
    <w:rsid w:val="00BF1908"/>
    <w:rsid w:val="00C07A8C"/>
    <w:rsid w:val="00C22D93"/>
    <w:rsid w:val="00C34482"/>
    <w:rsid w:val="00D33B86"/>
    <w:rsid w:val="00D52EB6"/>
    <w:rsid w:val="00D53924"/>
    <w:rsid w:val="00D55D0C"/>
    <w:rsid w:val="00D677F5"/>
    <w:rsid w:val="00D73896"/>
    <w:rsid w:val="00D96D8C"/>
    <w:rsid w:val="00DA4DCD"/>
    <w:rsid w:val="00DA6649"/>
    <w:rsid w:val="00E05465"/>
    <w:rsid w:val="00E51415"/>
    <w:rsid w:val="00E54642"/>
    <w:rsid w:val="00EA67C8"/>
    <w:rsid w:val="00EC37E9"/>
    <w:rsid w:val="00F00140"/>
    <w:rsid w:val="00F002A0"/>
    <w:rsid w:val="00F4471D"/>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paragraph" w:styleId="ad">
    <w:name w:val="List Paragraph"/>
    <w:basedOn w:val="a"/>
    <w:uiPriority w:val="34"/>
    <w:qFormat/>
    <w:rsid w:val="005C719B"/>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Ruller4">
    <w:name w:val="Ruller4 תו"/>
    <w:link w:val="Ruller40"/>
    <w:locked/>
    <w:rsid w:val="005C719B"/>
    <w:rPr>
      <w:rFonts w:ascii="Arial TUR" w:hAnsi="Arial TUR" w:cs="FrankRuehl"/>
      <w:spacing w:val="10"/>
      <w:sz w:val="22"/>
      <w:szCs w:val="28"/>
    </w:rPr>
  </w:style>
  <w:style w:type="paragraph" w:customStyle="1" w:styleId="Ruller40">
    <w:name w:val="Ruller4"/>
    <w:basedOn w:val="a"/>
    <w:link w:val="Ruller4"/>
    <w:rsid w:val="005C719B"/>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5C719B"/>
    <w:pPr>
      <w:overflowPunct w:val="0"/>
      <w:autoSpaceDE w:val="0"/>
      <w:autoSpaceDN w:val="0"/>
      <w:adjustRightInd w:val="0"/>
      <w:ind w:left="1644" w:right="1276"/>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487068">
      <w:bodyDiv w:val="1"/>
      <w:marLeft w:val="0"/>
      <w:marRight w:val="0"/>
      <w:marTop w:val="0"/>
      <w:marBottom w:val="0"/>
      <w:divBdr>
        <w:top w:val="none" w:sz="0" w:space="0" w:color="auto"/>
        <w:left w:val="none" w:sz="0" w:space="0" w:color="auto"/>
        <w:bottom w:val="none" w:sz="0" w:space="0" w:color="auto"/>
        <w:right w:val="none" w:sz="0" w:space="0" w:color="auto"/>
      </w:divBdr>
    </w:div>
    <w:div w:id="97120925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522830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cid:image002.gif@01D5D9AF.3D52D300" TargetMode="External"/><Relationship Id="rId13" Type="http://schemas.openxmlformats.org/officeDocument/2006/relationships/image" Target="cid:image004.png@01D56948.29CD4D6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gif"/><Relationship Id="rId12" Type="http://schemas.openxmlformats.org/officeDocument/2006/relationships/image" Target="media/image4.gi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cid:image003.png@01D56948.29CD4D60" TargetMode="External"/><Relationship Id="rId23" Type="http://schemas.openxmlformats.org/officeDocument/2006/relationships/glossaryDocument" Target="glossary/document.xml"/><Relationship Id="rId10" Type="http://schemas.openxmlformats.org/officeDocument/2006/relationships/image" Target="cid:image003.png@01D5D9AF.3D52D300"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1.png@01D56948.29CD4D60"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A52E17"/>
    <w:rsid w:val="00A554AF"/>
    <w:rsid w:val="00C92B5E"/>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2624</Words>
  <Characters>13124</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2023-09-05T12:15:00Z</dcterms:created>
  <dcterms:modified xsi:type="dcterms:W3CDTF">2023-09-05T12:15:00Z</dcterms:modified>
</cp:coreProperties>
</file>